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5.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6.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7.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8.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9.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10.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11.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12.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drawings/drawing13.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drawings/drawing14.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15.xml" ContentType="application/vnd.openxmlformats-officedocument.drawingml.chartshapes+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4585A" w14:textId="3ACF902C" w:rsidR="006253A4" w:rsidRDefault="006253A4" w:rsidP="00371A85"/>
    <w:p w14:paraId="1A8E2D0B" w14:textId="3547C35B" w:rsidR="006253A4" w:rsidRDefault="006253A4" w:rsidP="00371A85"/>
    <w:p w14:paraId="4FFA4633" w14:textId="1D1E5C84" w:rsidR="006253A4" w:rsidRPr="00D15203" w:rsidRDefault="006253A4" w:rsidP="006253A4">
      <w:pPr>
        <w:jc w:val="center"/>
        <w:rPr>
          <w:rFonts w:ascii="Arial" w:hAnsi="Arial" w:cs="Arial"/>
          <w:b/>
          <w:highlight w:val="yellow"/>
        </w:rPr>
      </w:pPr>
      <w:r>
        <w:rPr>
          <w:rFonts w:ascii="Arial" w:hAnsi="Arial" w:cs="Arial"/>
          <w:b/>
          <w:noProof/>
          <w:lang w:eastAsia="en-AU"/>
        </w:rPr>
        <w:drawing>
          <wp:anchor distT="0" distB="0" distL="114300" distR="114300" simplePos="0" relativeHeight="251659264" behindDoc="0" locked="0" layoutInCell="1" allowOverlap="1" wp14:anchorId="4E4B7EB1" wp14:editId="77DB67EE">
            <wp:simplePos x="0" y="0"/>
            <wp:positionH relativeFrom="column">
              <wp:posOffset>2823878</wp:posOffset>
            </wp:positionH>
            <wp:positionV relativeFrom="paragraph">
              <wp:posOffset>152729</wp:posOffset>
            </wp:positionV>
            <wp:extent cx="2910205" cy="777875"/>
            <wp:effectExtent l="0" t="0" r="4445" b="3175"/>
            <wp:wrapNone/>
            <wp:docPr id="57" name="Picture 0" descr="Blue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ue_logo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205" cy="777875"/>
                    </a:xfrm>
                    <a:prstGeom prst="rect">
                      <a:avLst/>
                    </a:prstGeom>
                    <a:noFill/>
                  </pic:spPr>
                </pic:pic>
              </a:graphicData>
            </a:graphic>
            <wp14:sizeRelH relativeFrom="page">
              <wp14:pctWidth>0</wp14:pctWidth>
            </wp14:sizeRelH>
            <wp14:sizeRelV relativeFrom="page">
              <wp14:pctHeight>0</wp14:pctHeight>
            </wp14:sizeRelV>
          </wp:anchor>
        </w:drawing>
      </w:r>
    </w:p>
    <w:p w14:paraId="4F63E83F" w14:textId="77777777" w:rsidR="006253A4" w:rsidRPr="00D15203" w:rsidRDefault="006253A4" w:rsidP="006253A4">
      <w:pPr>
        <w:jc w:val="center"/>
        <w:rPr>
          <w:rFonts w:ascii="Arial" w:hAnsi="Arial" w:cs="Arial"/>
          <w:b/>
          <w:highlight w:val="yellow"/>
        </w:rPr>
      </w:pPr>
    </w:p>
    <w:p w14:paraId="46D18AEF" w14:textId="77777777" w:rsidR="006253A4" w:rsidRPr="00D15203" w:rsidRDefault="006253A4" w:rsidP="006253A4">
      <w:pPr>
        <w:jc w:val="right"/>
        <w:rPr>
          <w:rFonts w:ascii="Arial" w:hAnsi="Arial" w:cs="Arial"/>
          <w:b/>
          <w:highlight w:val="yellow"/>
        </w:rPr>
      </w:pPr>
    </w:p>
    <w:p w14:paraId="07F7843D" w14:textId="77777777" w:rsidR="006253A4" w:rsidRDefault="006253A4" w:rsidP="006253A4">
      <w:pPr>
        <w:jc w:val="right"/>
        <w:rPr>
          <w:rFonts w:ascii="Arial" w:hAnsi="Arial" w:cs="Arial"/>
          <w:sz w:val="72"/>
          <w:szCs w:val="44"/>
        </w:rPr>
      </w:pPr>
    </w:p>
    <w:p w14:paraId="3D98BAB4" w14:textId="77777777" w:rsidR="006253A4" w:rsidRDefault="006253A4" w:rsidP="006253A4">
      <w:pPr>
        <w:jc w:val="right"/>
        <w:rPr>
          <w:rFonts w:ascii="Arial" w:hAnsi="Arial" w:cs="Arial"/>
          <w:sz w:val="72"/>
          <w:szCs w:val="44"/>
        </w:rPr>
      </w:pPr>
    </w:p>
    <w:p w14:paraId="6FCBC8B0" w14:textId="31D4DCF7" w:rsidR="006253A4" w:rsidRPr="00D15203" w:rsidRDefault="006253A4" w:rsidP="006253A4">
      <w:pPr>
        <w:jc w:val="right"/>
        <w:rPr>
          <w:rFonts w:ascii="Arial" w:hAnsi="Arial" w:cs="Arial"/>
          <w:sz w:val="72"/>
          <w:szCs w:val="44"/>
        </w:rPr>
      </w:pPr>
      <w:r w:rsidRPr="00D15203">
        <w:rPr>
          <w:rFonts w:ascii="Arial" w:hAnsi="Arial" w:cs="Arial"/>
          <w:sz w:val="72"/>
          <w:szCs w:val="44"/>
        </w:rPr>
        <w:t>Annual Report 201</w:t>
      </w:r>
      <w:r>
        <w:rPr>
          <w:rFonts w:ascii="Arial" w:hAnsi="Arial" w:cs="Arial"/>
          <w:sz w:val="72"/>
          <w:szCs w:val="44"/>
        </w:rPr>
        <w:t>8</w:t>
      </w:r>
    </w:p>
    <w:p w14:paraId="77DF0E48" w14:textId="77777777" w:rsidR="006253A4" w:rsidRPr="00D15203" w:rsidRDefault="006253A4" w:rsidP="006253A4">
      <w:pPr>
        <w:jc w:val="right"/>
        <w:rPr>
          <w:rFonts w:ascii="Arial" w:hAnsi="Arial" w:cs="Arial"/>
          <w:b/>
          <w:sz w:val="32"/>
          <w:szCs w:val="32"/>
        </w:rPr>
      </w:pPr>
    </w:p>
    <w:p w14:paraId="4333D438" w14:textId="77777777" w:rsidR="006253A4" w:rsidRPr="00D15203" w:rsidRDefault="006253A4" w:rsidP="006253A4">
      <w:pPr>
        <w:jc w:val="right"/>
        <w:rPr>
          <w:rFonts w:ascii="Arial" w:hAnsi="Arial" w:cs="Arial"/>
          <w:sz w:val="40"/>
          <w:szCs w:val="32"/>
        </w:rPr>
      </w:pPr>
      <w:r w:rsidRPr="00D15203">
        <w:rPr>
          <w:rFonts w:ascii="Arial" w:hAnsi="Arial" w:cs="Arial"/>
          <w:sz w:val="40"/>
          <w:szCs w:val="32"/>
        </w:rPr>
        <w:t xml:space="preserve">Insurance Commission </w:t>
      </w:r>
    </w:p>
    <w:p w14:paraId="3661501F" w14:textId="77777777" w:rsidR="006253A4" w:rsidRPr="00D15203" w:rsidRDefault="006253A4" w:rsidP="006253A4">
      <w:pPr>
        <w:jc w:val="right"/>
        <w:rPr>
          <w:rFonts w:ascii="Arial" w:hAnsi="Arial" w:cs="Arial"/>
          <w:sz w:val="40"/>
          <w:szCs w:val="32"/>
        </w:rPr>
      </w:pPr>
      <w:proofErr w:type="gramStart"/>
      <w:r w:rsidRPr="00D15203">
        <w:rPr>
          <w:rFonts w:ascii="Arial" w:hAnsi="Arial" w:cs="Arial"/>
          <w:sz w:val="40"/>
          <w:szCs w:val="32"/>
        </w:rPr>
        <w:t>of</w:t>
      </w:r>
      <w:proofErr w:type="gramEnd"/>
      <w:r w:rsidRPr="00D15203">
        <w:rPr>
          <w:rFonts w:ascii="Arial" w:hAnsi="Arial" w:cs="Arial"/>
          <w:sz w:val="40"/>
          <w:szCs w:val="32"/>
        </w:rPr>
        <w:t xml:space="preserve"> Western Australia</w:t>
      </w:r>
      <w:bookmarkStart w:id="0" w:name="_GoBack"/>
      <w:bookmarkEnd w:id="0"/>
    </w:p>
    <w:p w14:paraId="5B62C940" w14:textId="77777777" w:rsidR="006253A4" w:rsidRDefault="006253A4" w:rsidP="00371A85"/>
    <w:p w14:paraId="77CF7650" w14:textId="77777777" w:rsidR="006253A4" w:rsidRDefault="006253A4" w:rsidP="00371A85"/>
    <w:p w14:paraId="6CFAC1A3" w14:textId="77777777" w:rsidR="006253A4" w:rsidRDefault="006253A4" w:rsidP="00371A85"/>
    <w:p w14:paraId="6AE37DAD" w14:textId="77777777" w:rsidR="006253A4" w:rsidRDefault="006253A4" w:rsidP="00371A85"/>
    <w:p w14:paraId="3459529B" w14:textId="77777777" w:rsidR="006253A4" w:rsidRDefault="006253A4" w:rsidP="00371A85"/>
    <w:p w14:paraId="61C2C86B" w14:textId="77777777" w:rsidR="006253A4" w:rsidRDefault="006253A4" w:rsidP="00371A85"/>
    <w:p w14:paraId="088F8EFC" w14:textId="77777777" w:rsidR="006253A4" w:rsidRDefault="006253A4" w:rsidP="00371A85"/>
    <w:p w14:paraId="066D126C" w14:textId="77777777" w:rsidR="006253A4" w:rsidRDefault="006253A4" w:rsidP="00371A85"/>
    <w:p w14:paraId="2168678B" w14:textId="77777777" w:rsidR="006253A4" w:rsidRDefault="006253A4" w:rsidP="00371A85"/>
    <w:p w14:paraId="3D58FCB7" w14:textId="77777777" w:rsidR="006253A4" w:rsidRDefault="006253A4" w:rsidP="00371A85"/>
    <w:p w14:paraId="19E3BB52" w14:textId="77777777" w:rsidR="006253A4" w:rsidRDefault="006253A4" w:rsidP="00371A85"/>
    <w:p w14:paraId="5095ED2A" w14:textId="77777777" w:rsidR="006253A4" w:rsidRDefault="006253A4" w:rsidP="00371A85"/>
    <w:p w14:paraId="22B83CD3" w14:textId="77777777" w:rsidR="006253A4" w:rsidRDefault="006253A4" w:rsidP="00371A85"/>
    <w:p w14:paraId="110238F5" w14:textId="77777777" w:rsidR="006253A4" w:rsidRDefault="006253A4" w:rsidP="00371A85"/>
    <w:p w14:paraId="1D4FBB5D" w14:textId="77777777" w:rsidR="006253A4" w:rsidRDefault="006253A4" w:rsidP="00371A85"/>
    <w:p w14:paraId="1D9312A9" w14:textId="77777777" w:rsidR="006253A4" w:rsidRDefault="006253A4" w:rsidP="00371A85"/>
    <w:p w14:paraId="44974B91" w14:textId="77777777" w:rsidR="006253A4" w:rsidRDefault="006253A4" w:rsidP="00371A85"/>
    <w:p w14:paraId="7B3ABFF5" w14:textId="77777777" w:rsidR="006253A4" w:rsidRDefault="006253A4" w:rsidP="00371A85"/>
    <w:p w14:paraId="17E30262" w14:textId="77777777" w:rsidR="006253A4" w:rsidRDefault="006253A4" w:rsidP="00371A85"/>
    <w:p w14:paraId="7ADF1E1F" w14:textId="77777777" w:rsidR="006253A4" w:rsidRDefault="006253A4" w:rsidP="00371A85"/>
    <w:p w14:paraId="5C939820" w14:textId="77777777" w:rsidR="006253A4" w:rsidRDefault="006253A4" w:rsidP="00371A85"/>
    <w:p w14:paraId="253FF00C" w14:textId="77777777" w:rsidR="006253A4" w:rsidRDefault="006253A4" w:rsidP="00371A85"/>
    <w:p w14:paraId="2E3FAB65" w14:textId="77777777" w:rsidR="006253A4" w:rsidRDefault="006253A4" w:rsidP="00371A85"/>
    <w:p w14:paraId="5B9F1EE7" w14:textId="77777777" w:rsidR="006253A4" w:rsidRDefault="006253A4" w:rsidP="00371A85"/>
    <w:p w14:paraId="02715C43" w14:textId="77777777" w:rsidR="006253A4" w:rsidRDefault="006253A4" w:rsidP="00371A85"/>
    <w:p w14:paraId="51ED2FBC" w14:textId="77777777" w:rsidR="006253A4" w:rsidRDefault="006253A4" w:rsidP="00371A85"/>
    <w:p w14:paraId="5617F30C" w14:textId="77777777" w:rsidR="006253A4" w:rsidRDefault="006253A4" w:rsidP="00371A85"/>
    <w:p w14:paraId="7379FBE8" w14:textId="77777777" w:rsidR="006253A4" w:rsidRDefault="006253A4" w:rsidP="00371A85"/>
    <w:p w14:paraId="29C1FB5A" w14:textId="77777777" w:rsidR="006253A4" w:rsidRDefault="006253A4" w:rsidP="00371A85"/>
    <w:p w14:paraId="4E2DC393" w14:textId="77777777" w:rsidR="006253A4" w:rsidRDefault="006253A4" w:rsidP="00371A85"/>
    <w:p w14:paraId="3DA66BF7" w14:textId="77777777" w:rsidR="006253A4" w:rsidRDefault="006253A4" w:rsidP="00371A85"/>
    <w:p w14:paraId="228AC1D9" w14:textId="6C47D503" w:rsidR="006253A4" w:rsidRPr="006253A4" w:rsidRDefault="006253A4" w:rsidP="006253A4">
      <w:pPr>
        <w:spacing w:before="200"/>
        <w:rPr>
          <w:rFonts w:ascii="Arial" w:hAnsi="Arial" w:cs="Arial"/>
          <w:b/>
          <w:sz w:val="32"/>
          <w:szCs w:val="32"/>
        </w:rPr>
      </w:pPr>
      <w:r w:rsidRPr="006253A4">
        <w:rPr>
          <w:rFonts w:ascii="Arial" w:hAnsi="Arial" w:cs="Arial"/>
          <w:b/>
          <w:sz w:val="32"/>
          <w:szCs w:val="32"/>
        </w:rPr>
        <w:lastRenderedPageBreak/>
        <w:t xml:space="preserve">Welcome to the </w:t>
      </w:r>
      <w:r w:rsidR="00BF3643">
        <w:rPr>
          <w:rFonts w:ascii="Arial" w:hAnsi="Arial" w:cs="Arial"/>
          <w:b/>
          <w:sz w:val="32"/>
          <w:szCs w:val="32"/>
        </w:rPr>
        <w:t xml:space="preserve">2018 </w:t>
      </w:r>
      <w:r w:rsidRPr="006253A4">
        <w:rPr>
          <w:rFonts w:ascii="Arial" w:hAnsi="Arial" w:cs="Arial"/>
          <w:b/>
          <w:sz w:val="32"/>
          <w:szCs w:val="32"/>
        </w:rPr>
        <w:t>Annual Report</w:t>
      </w:r>
    </w:p>
    <w:p w14:paraId="403B5F20" w14:textId="7468AAA5" w:rsidR="006253A4" w:rsidRPr="00D15203" w:rsidRDefault="006253A4" w:rsidP="006253A4">
      <w:pPr>
        <w:rPr>
          <w:rFonts w:ascii="Arial" w:hAnsi="Arial" w:cs="Arial"/>
        </w:rPr>
      </w:pPr>
      <w:r w:rsidRPr="00D15203">
        <w:rPr>
          <w:rFonts w:ascii="Arial" w:hAnsi="Arial" w:cs="Arial"/>
        </w:rPr>
        <w:t>This report describes the functions and operations of the Insurance Commission of Western Australia (Insurance Commission)</w:t>
      </w:r>
      <w:r>
        <w:rPr>
          <w:rFonts w:ascii="Arial" w:hAnsi="Arial" w:cs="Arial"/>
        </w:rPr>
        <w:t>, shows how the organisation performed</w:t>
      </w:r>
      <w:r w:rsidRPr="00D15203">
        <w:rPr>
          <w:rFonts w:ascii="Arial" w:hAnsi="Arial" w:cs="Arial"/>
        </w:rPr>
        <w:t xml:space="preserve"> and presents the audited financial statements and performance indicators for the financial year ended 30</w:t>
      </w:r>
      <w:r>
        <w:rPr>
          <w:rFonts w:ascii="Arial" w:hAnsi="Arial" w:cs="Arial"/>
        </w:rPr>
        <w:t> </w:t>
      </w:r>
      <w:r w:rsidRPr="00D15203">
        <w:rPr>
          <w:rFonts w:ascii="Arial" w:hAnsi="Arial" w:cs="Arial"/>
        </w:rPr>
        <w:t>June</w:t>
      </w:r>
      <w:r>
        <w:rPr>
          <w:rFonts w:ascii="Arial" w:hAnsi="Arial" w:cs="Arial"/>
        </w:rPr>
        <w:t> </w:t>
      </w:r>
      <w:r w:rsidRPr="00D15203">
        <w:rPr>
          <w:rFonts w:ascii="Arial" w:hAnsi="Arial" w:cs="Arial"/>
        </w:rPr>
        <w:t>201</w:t>
      </w:r>
      <w:r>
        <w:rPr>
          <w:rFonts w:ascii="Arial" w:hAnsi="Arial" w:cs="Arial"/>
        </w:rPr>
        <w:t>8</w:t>
      </w:r>
      <w:r w:rsidRPr="005017BA">
        <w:rPr>
          <w:rFonts w:ascii="Arial" w:hAnsi="Arial" w:cs="Arial"/>
          <w:vertAlign w:val="superscript"/>
        </w:rPr>
        <w:footnoteReference w:id="1"/>
      </w:r>
      <w:r w:rsidRPr="00D15203">
        <w:rPr>
          <w:rFonts w:ascii="Arial" w:hAnsi="Arial" w:cs="Arial"/>
        </w:rPr>
        <w:t xml:space="preserve">. </w:t>
      </w:r>
    </w:p>
    <w:p w14:paraId="40BD186E" w14:textId="77777777" w:rsidR="006253A4" w:rsidRDefault="006253A4" w:rsidP="006253A4">
      <w:pPr>
        <w:rPr>
          <w:rFonts w:ascii="Arial" w:hAnsi="Arial" w:cs="Arial"/>
        </w:rPr>
      </w:pPr>
    </w:p>
    <w:p w14:paraId="315F0A94" w14:textId="77777777" w:rsidR="006253A4" w:rsidRPr="00D15203" w:rsidRDefault="006253A4" w:rsidP="006253A4">
      <w:pPr>
        <w:rPr>
          <w:rFonts w:ascii="Arial" w:hAnsi="Arial" w:cs="Arial"/>
        </w:rPr>
      </w:pPr>
      <w:r>
        <w:rPr>
          <w:rFonts w:ascii="Arial" w:hAnsi="Arial" w:cs="Arial"/>
        </w:rPr>
        <w:t>T</w:t>
      </w:r>
      <w:r w:rsidRPr="00D15203">
        <w:rPr>
          <w:rFonts w:ascii="Arial" w:hAnsi="Arial" w:cs="Arial"/>
        </w:rPr>
        <w:t xml:space="preserve">his report and previous annual reports are available on the Insurance Commission’s website: </w:t>
      </w:r>
      <w:hyperlink r:id="rId9" w:history="1">
        <w:r w:rsidRPr="00D15203">
          <w:rPr>
            <w:rStyle w:val="Hyperlink"/>
            <w:rFonts w:ascii="Arial" w:hAnsi="Arial" w:cs="Arial"/>
          </w:rPr>
          <w:t>icwa.wa.gov.au</w:t>
        </w:r>
      </w:hyperlink>
      <w:r w:rsidRPr="00D15203">
        <w:rPr>
          <w:rFonts w:ascii="Arial" w:hAnsi="Arial" w:cs="Arial"/>
        </w:rPr>
        <w:t>.</w:t>
      </w:r>
    </w:p>
    <w:p w14:paraId="2625A8B5" w14:textId="77777777" w:rsidR="006253A4" w:rsidRDefault="006253A4" w:rsidP="006253A4">
      <w:pPr>
        <w:rPr>
          <w:rFonts w:ascii="Arial" w:hAnsi="Arial" w:cs="Arial"/>
        </w:rPr>
      </w:pPr>
    </w:p>
    <w:p w14:paraId="0DC5F289" w14:textId="77777777" w:rsidR="006253A4" w:rsidRPr="00D15203" w:rsidRDefault="006253A4" w:rsidP="006253A4">
      <w:pPr>
        <w:rPr>
          <w:rFonts w:ascii="Arial" w:hAnsi="Arial" w:cs="Arial"/>
        </w:rPr>
      </w:pPr>
      <w:r w:rsidRPr="00D15203">
        <w:rPr>
          <w:rFonts w:ascii="Arial" w:hAnsi="Arial" w:cs="Arial"/>
        </w:rPr>
        <w:t xml:space="preserve">On request, this report </w:t>
      </w:r>
      <w:r>
        <w:rPr>
          <w:rFonts w:ascii="Arial" w:hAnsi="Arial" w:cs="Arial"/>
        </w:rPr>
        <w:t>can</w:t>
      </w:r>
      <w:r w:rsidRPr="00D15203">
        <w:rPr>
          <w:rFonts w:ascii="Arial" w:hAnsi="Arial" w:cs="Arial"/>
        </w:rPr>
        <w:t xml:space="preserve"> be made available in alternative formats.  </w:t>
      </w:r>
    </w:p>
    <w:p w14:paraId="7DF62FE2" w14:textId="77777777" w:rsidR="006253A4" w:rsidRPr="00D15203" w:rsidRDefault="006253A4" w:rsidP="006253A4">
      <w:pPr>
        <w:rPr>
          <w:rFonts w:ascii="Arial" w:hAnsi="Arial" w:cs="Arial"/>
        </w:rPr>
      </w:pPr>
    </w:p>
    <w:p w14:paraId="6D9C060B" w14:textId="77777777" w:rsidR="006253A4" w:rsidRDefault="006253A4" w:rsidP="006253A4">
      <w:pPr>
        <w:rPr>
          <w:rFonts w:ascii="Arial" w:hAnsi="Arial" w:cs="Arial"/>
          <w:b/>
          <w:sz w:val="32"/>
          <w:szCs w:val="32"/>
        </w:rPr>
      </w:pPr>
    </w:p>
    <w:p w14:paraId="7EB7243B" w14:textId="77777777" w:rsidR="006253A4" w:rsidRPr="00455E6E" w:rsidRDefault="006253A4" w:rsidP="006253A4">
      <w:pPr>
        <w:rPr>
          <w:rFonts w:ascii="Arial" w:hAnsi="Arial" w:cs="Arial"/>
          <w:b/>
          <w:sz w:val="32"/>
          <w:szCs w:val="32"/>
        </w:rPr>
      </w:pPr>
      <w:r w:rsidRPr="00455E6E">
        <w:rPr>
          <w:rFonts w:ascii="Arial" w:hAnsi="Arial" w:cs="Arial"/>
          <w:b/>
          <w:sz w:val="32"/>
          <w:szCs w:val="32"/>
        </w:rPr>
        <w:t>Statement of Compliance</w:t>
      </w:r>
    </w:p>
    <w:p w14:paraId="52F5E1F8" w14:textId="77777777" w:rsidR="006253A4" w:rsidRDefault="006253A4" w:rsidP="006253A4">
      <w:pPr>
        <w:rPr>
          <w:rFonts w:ascii="Arial" w:hAnsi="Arial" w:cs="Arial"/>
          <w:b/>
          <w:sz w:val="32"/>
          <w:szCs w:val="32"/>
        </w:rPr>
      </w:pPr>
    </w:p>
    <w:p w14:paraId="3DEACEB8" w14:textId="77777777" w:rsidR="006253A4" w:rsidRDefault="006253A4" w:rsidP="006253A4">
      <w:pPr>
        <w:rPr>
          <w:rFonts w:ascii="Arial" w:hAnsi="Arial" w:cs="Arial"/>
          <w:szCs w:val="24"/>
        </w:rPr>
      </w:pPr>
      <w:r>
        <w:rPr>
          <w:rFonts w:ascii="Arial" w:hAnsi="Arial" w:cs="Arial"/>
          <w:szCs w:val="24"/>
        </w:rPr>
        <w:t>Hon Ben Wyatt MLA</w:t>
      </w:r>
    </w:p>
    <w:p w14:paraId="74094AB2" w14:textId="77777777" w:rsidR="006253A4" w:rsidRDefault="006253A4" w:rsidP="006253A4">
      <w:pPr>
        <w:rPr>
          <w:rFonts w:ascii="Arial" w:hAnsi="Arial" w:cs="Arial"/>
          <w:b/>
          <w:szCs w:val="24"/>
        </w:rPr>
      </w:pPr>
      <w:r>
        <w:rPr>
          <w:rFonts w:ascii="Arial" w:hAnsi="Arial" w:cs="Arial"/>
          <w:b/>
          <w:szCs w:val="24"/>
        </w:rPr>
        <w:t>Treasurer</w:t>
      </w:r>
    </w:p>
    <w:p w14:paraId="23839769" w14:textId="77777777" w:rsidR="006253A4" w:rsidRDefault="006253A4" w:rsidP="006253A4">
      <w:pPr>
        <w:rPr>
          <w:rFonts w:ascii="Arial" w:hAnsi="Arial" w:cs="Arial"/>
          <w:b/>
          <w:szCs w:val="24"/>
        </w:rPr>
      </w:pPr>
    </w:p>
    <w:p w14:paraId="0A545DA8" w14:textId="77777777" w:rsidR="006253A4" w:rsidRDefault="006253A4" w:rsidP="006253A4">
      <w:pPr>
        <w:rPr>
          <w:rFonts w:ascii="Arial" w:hAnsi="Arial" w:cs="Arial"/>
          <w:szCs w:val="24"/>
        </w:rPr>
      </w:pPr>
      <w:r>
        <w:rPr>
          <w:rFonts w:ascii="Arial" w:hAnsi="Arial" w:cs="Arial"/>
          <w:szCs w:val="24"/>
        </w:rPr>
        <w:t xml:space="preserve">In accordance with section 63 of the </w:t>
      </w:r>
      <w:r w:rsidRPr="00646DD3">
        <w:rPr>
          <w:rFonts w:ascii="Arial" w:hAnsi="Arial" w:cs="Arial"/>
          <w:i/>
          <w:szCs w:val="24"/>
        </w:rPr>
        <w:t>Financial</w:t>
      </w:r>
      <w:r>
        <w:rPr>
          <w:rFonts w:ascii="Arial" w:hAnsi="Arial" w:cs="Arial"/>
          <w:i/>
          <w:szCs w:val="24"/>
        </w:rPr>
        <w:t xml:space="preserve"> Management Act 2006,</w:t>
      </w:r>
      <w:r>
        <w:rPr>
          <w:rFonts w:ascii="Arial" w:hAnsi="Arial" w:cs="Arial"/>
          <w:szCs w:val="24"/>
        </w:rPr>
        <w:t xml:space="preserve"> we hereby submit for your information and presentation to the Parliament of Western Australia the Annual Report of the Insurance Commission of Western Australia for the financial year ended 30 June 2018.</w:t>
      </w:r>
    </w:p>
    <w:p w14:paraId="6199A695" w14:textId="77777777" w:rsidR="006253A4" w:rsidRDefault="006253A4" w:rsidP="006253A4">
      <w:pPr>
        <w:rPr>
          <w:rFonts w:ascii="Arial" w:hAnsi="Arial" w:cs="Arial"/>
          <w:szCs w:val="24"/>
        </w:rPr>
      </w:pPr>
    </w:p>
    <w:p w14:paraId="5E9896F1" w14:textId="77777777" w:rsidR="006253A4" w:rsidRDefault="006253A4" w:rsidP="006253A4">
      <w:pPr>
        <w:rPr>
          <w:rFonts w:ascii="Arial" w:hAnsi="Arial" w:cs="Arial"/>
          <w:szCs w:val="24"/>
        </w:rPr>
      </w:pPr>
      <w:r>
        <w:rPr>
          <w:rFonts w:ascii="Arial" w:hAnsi="Arial" w:cs="Arial"/>
          <w:szCs w:val="24"/>
        </w:rPr>
        <w:t xml:space="preserve">The Annual Report has been prepared in accordance with the provisions of the </w:t>
      </w:r>
      <w:r>
        <w:rPr>
          <w:rFonts w:ascii="Arial" w:hAnsi="Arial" w:cs="Arial"/>
          <w:i/>
          <w:szCs w:val="24"/>
        </w:rPr>
        <w:t>Financial Management Act 2006,</w:t>
      </w:r>
      <w:r>
        <w:rPr>
          <w:rFonts w:ascii="Arial" w:hAnsi="Arial" w:cs="Arial"/>
          <w:szCs w:val="24"/>
        </w:rPr>
        <w:t xml:space="preserve"> the </w:t>
      </w:r>
      <w:r>
        <w:rPr>
          <w:rFonts w:ascii="Arial" w:hAnsi="Arial" w:cs="Arial"/>
          <w:i/>
          <w:szCs w:val="24"/>
        </w:rPr>
        <w:t>Insurance Commission of Western Australia Act 1986,</w:t>
      </w:r>
      <w:r>
        <w:rPr>
          <w:rFonts w:ascii="Arial" w:hAnsi="Arial" w:cs="Arial"/>
          <w:szCs w:val="24"/>
        </w:rPr>
        <w:t xml:space="preserve"> and a resolution of the Board of Commissioners of the Insurance Commission of Western Australia, passed </w:t>
      </w:r>
      <w:r w:rsidRPr="003C008D">
        <w:rPr>
          <w:rFonts w:ascii="Arial" w:hAnsi="Arial" w:cs="Arial"/>
          <w:szCs w:val="24"/>
        </w:rPr>
        <w:t>on 11 September 2018.</w:t>
      </w:r>
    </w:p>
    <w:p w14:paraId="1EE37C36" w14:textId="77777777" w:rsidR="006253A4" w:rsidRDefault="006253A4" w:rsidP="006253A4">
      <w:pPr>
        <w:rPr>
          <w:rFonts w:ascii="Arial" w:hAnsi="Arial" w:cs="Arial"/>
          <w:szCs w:val="24"/>
        </w:rPr>
      </w:pPr>
    </w:p>
    <w:p w14:paraId="1820E33C" w14:textId="77777777" w:rsidR="006253A4" w:rsidRDefault="006253A4" w:rsidP="006253A4">
      <w:pPr>
        <w:rPr>
          <w:rFonts w:ascii="Arial" w:hAnsi="Arial" w:cs="Arial"/>
          <w:szCs w:val="24"/>
        </w:rPr>
      </w:pPr>
    </w:p>
    <w:p w14:paraId="40BA3071" w14:textId="77777777" w:rsidR="006253A4" w:rsidRDefault="006253A4" w:rsidP="006253A4">
      <w:pPr>
        <w:rPr>
          <w:rFonts w:ascii="Arial" w:hAnsi="Arial" w:cs="Arial"/>
          <w:szCs w:val="24"/>
        </w:rPr>
      </w:pPr>
    </w:p>
    <w:p w14:paraId="41E12901" w14:textId="77777777" w:rsidR="006253A4" w:rsidRDefault="006253A4" w:rsidP="006253A4">
      <w:pPr>
        <w:rPr>
          <w:rFonts w:ascii="Arial" w:hAnsi="Arial" w:cs="Arial"/>
          <w:szCs w:val="24"/>
        </w:rPr>
      </w:pPr>
    </w:p>
    <w:p w14:paraId="75EEEFEA" w14:textId="18611D9E" w:rsidR="006253A4" w:rsidRDefault="006253A4" w:rsidP="006253A4">
      <w:pPr>
        <w:tabs>
          <w:tab w:val="left" w:pos="720"/>
          <w:tab w:val="left" w:pos="1440"/>
          <w:tab w:val="left" w:pos="2160"/>
          <w:tab w:val="left" w:pos="2880"/>
          <w:tab w:val="left" w:pos="4111"/>
        </w:tabs>
        <w:rPr>
          <w:rFonts w:ascii="Arial" w:hAnsi="Arial" w:cs="Arial"/>
          <w:szCs w:val="24"/>
        </w:rPr>
      </w:pPr>
      <w:r w:rsidRPr="0018713C">
        <w:rPr>
          <w:rFonts w:ascii="Arial" w:eastAsia="Calibri" w:hAnsi="Arial" w:cs="Arial"/>
          <w:iCs/>
          <w:caps/>
          <w:noProof/>
          <w:lang w:eastAsia="en-AU"/>
        </w:rPr>
        <w:drawing>
          <wp:inline distT="0" distB="0" distL="0" distR="0" wp14:anchorId="79CFF79A" wp14:editId="3A5ABC31">
            <wp:extent cx="1610360" cy="554355"/>
            <wp:effectExtent l="0" t="0" r="8890" b="0"/>
            <wp:docPr id="6" name="Picture 2" descr="G:\Executive\Communications\Reports\External\Annual Report\2015\Electronic signatures\Frank Coop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xecutive\Communications\Reports\External\Annual Report\2015\Electronic signatures\Frank Cooper sig.jpg"/>
                    <pic:cNvPicPr>
                      <a:picLocks noChangeAspect="1" noChangeArrowheads="1"/>
                    </pic:cNvPicPr>
                  </pic:nvPicPr>
                  <pic:blipFill>
                    <a:blip r:embed="rId10" cstate="print">
                      <a:biLevel thresh="50000"/>
                    </a:blip>
                    <a:srcRect/>
                    <a:stretch>
                      <a:fillRect/>
                    </a:stretch>
                  </pic:blipFill>
                  <pic:spPr bwMode="auto">
                    <a:xfrm>
                      <a:off x="0" y="0"/>
                      <a:ext cx="1610360" cy="554355"/>
                    </a:xfrm>
                    <a:prstGeom prst="rect">
                      <a:avLst/>
                    </a:prstGeom>
                    <a:noFill/>
                    <a:ln w="9525">
                      <a:noFill/>
                      <a:miter lim="800000"/>
                      <a:headEnd/>
                      <a:tailEnd/>
                    </a:ln>
                  </pic:spPr>
                </pic:pic>
              </a:graphicData>
            </a:graphic>
          </wp:inline>
        </w:drawing>
      </w:r>
      <w:r>
        <w:rPr>
          <w:rFonts w:ascii="Arial" w:hAnsi="Arial" w:cs="Arial"/>
          <w:szCs w:val="24"/>
        </w:rPr>
        <w:tab/>
      </w:r>
      <w:r>
        <w:rPr>
          <w:rFonts w:ascii="Arial" w:hAnsi="Arial" w:cs="Arial"/>
          <w:szCs w:val="24"/>
        </w:rPr>
        <w:tab/>
      </w:r>
      <w:r w:rsidRPr="0018713C">
        <w:rPr>
          <w:rFonts w:ascii="Arial" w:eastAsia="Calibri" w:hAnsi="Arial" w:cs="Arial"/>
          <w:iCs/>
          <w:caps/>
          <w:noProof/>
          <w:lang w:eastAsia="en-AU"/>
        </w:rPr>
        <w:drawing>
          <wp:inline distT="0" distB="0" distL="0" distR="0" wp14:anchorId="382518F9" wp14:editId="023BC8E6">
            <wp:extent cx="1610360" cy="709930"/>
            <wp:effectExtent l="0" t="0" r="8890" b="0"/>
            <wp:docPr id="8" name="Picture 1" descr="G:\Executive\Communications\Reports\External\Annual Report\2015\Electronic signatures\Rod Whith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xecutive\Communications\Reports\External\Annual Report\2015\Electronic signatures\Rod Whithear 1.jpg"/>
                    <pic:cNvPicPr>
                      <a:picLocks noChangeAspect="1" noChangeArrowheads="1"/>
                    </pic:cNvPicPr>
                  </pic:nvPicPr>
                  <pic:blipFill>
                    <a:blip r:embed="rId11" cstate="print"/>
                    <a:srcRect/>
                    <a:stretch>
                      <a:fillRect/>
                    </a:stretch>
                  </pic:blipFill>
                  <pic:spPr bwMode="auto">
                    <a:xfrm>
                      <a:off x="0" y="0"/>
                      <a:ext cx="1610360" cy="709930"/>
                    </a:xfrm>
                    <a:prstGeom prst="rect">
                      <a:avLst/>
                    </a:prstGeom>
                    <a:noFill/>
                    <a:ln w="9525">
                      <a:noFill/>
                      <a:miter lim="800000"/>
                      <a:headEnd/>
                      <a:tailEnd/>
                    </a:ln>
                  </pic:spPr>
                </pic:pic>
              </a:graphicData>
            </a:graphic>
          </wp:inline>
        </w:drawing>
      </w:r>
      <w:r>
        <w:rPr>
          <w:rFonts w:ascii="Arial" w:hAnsi="Arial" w:cs="Arial"/>
          <w:szCs w:val="24"/>
        </w:rPr>
        <w:tab/>
      </w:r>
    </w:p>
    <w:p w14:paraId="6A76DB11" w14:textId="77777777" w:rsidR="006253A4" w:rsidRDefault="006253A4" w:rsidP="006253A4">
      <w:pPr>
        <w:rPr>
          <w:rFonts w:ascii="Arial" w:hAnsi="Arial" w:cs="Arial"/>
          <w:szCs w:val="24"/>
        </w:rPr>
      </w:pPr>
    </w:p>
    <w:p w14:paraId="6CBF0D24" w14:textId="77777777" w:rsidR="006253A4" w:rsidRDefault="006253A4" w:rsidP="006253A4">
      <w:pPr>
        <w:rPr>
          <w:rFonts w:ascii="Arial" w:hAnsi="Arial" w:cs="Arial"/>
          <w:szCs w:val="24"/>
        </w:rPr>
      </w:pPr>
      <w:r>
        <w:rPr>
          <w:rFonts w:ascii="Arial" w:hAnsi="Arial" w:cs="Arial"/>
          <w:szCs w:val="24"/>
        </w:rPr>
        <w:t>Frank Cooper AO</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Rod Whithear</w:t>
      </w:r>
    </w:p>
    <w:p w14:paraId="7868027B" w14:textId="77777777" w:rsidR="006253A4" w:rsidRDefault="006253A4" w:rsidP="006253A4">
      <w:pPr>
        <w:rPr>
          <w:rFonts w:ascii="Arial" w:hAnsi="Arial" w:cs="Arial"/>
          <w:b/>
          <w:szCs w:val="24"/>
        </w:rPr>
      </w:pPr>
      <w:r w:rsidRPr="00455E6E">
        <w:rPr>
          <w:rFonts w:ascii="Arial" w:hAnsi="Arial" w:cs="Arial"/>
          <w:b/>
          <w:szCs w:val="24"/>
        </w:rPr>
        <w:t>Chairman</w:t>
      </w:r>
      <w:r w:rsidRPr="00455E6E">
        <w:rPr>
          <w:rFonts w:ascii="Arial" w:hAnsi="Arial" w:cs="Arial"/>
          <w:b/>
          <w:szCs w:val="24"/>
        </w:rPr>
        <w:tab/>
      </w:r>
      <w:r w:rsidRPr="00455E6E">
        <w:rPr>
          <w:rFonts w:ascii="Arial" w:hAnsi="Arial" w:cs="Arial"/>
          <w:b/>
          <w:szCs w:val="24"/>
        </w:rPr>
        <w:tab/>
      </w:r>
      <w:r w:rsidRPr="00455E6E">
        <w:rPr>
          <w:rFonts w:ascii="Arial" w:hAnsi="Arial" w:cs="Arial"/>
          <w:b/>
          <w:szCs w:val="24"/>
        </w:rPr>
        <w:tab/>
      </w:r>
      <w:r w:rsidRPr="00455E6E">
        <w:rPr>
          <w:rFonts w:ascii="Arial" w:hAnsi="Arial" w:cs="Arial"/>
          <w:b/>
          <w:szCs w:val="24"/>
        </w:rPr>
        <w:tab/>
      </w:r>
      <w:r w:rsidRPr="00455E6E">
        <w:rPr>
          <w:rFonts w:ascii="Arial" w:hAnsi="Arial" w:cs="Arial"/>
          <w:b/>
          <w:szCs w:val="24"/>
        </w:rPr>
        <w:tab/>
        <w:t>Chief Executive</w:t>
      </w:r>
    </w:p>
    <w:p w14:paraId="493411CF" w14:textId="77777777" w:rsidR="006253A4" w:rsidRPr="00455E6E" w:rsidRDefault="006253A4" w:rsidP="006253A4">
      <w:pPr>
        <w:rPr>
          <w:rFonts w:ascii="Arial" w:hAnsi="Arial" w:cs="Arial"/>
          <w:b/>
          <w:szCs w:val="24"/>
        </w:rPr>
      </w:pPr>
      <w:r w:rsidRPr="003C008D">
        <w:rPr>
          <w:rFonts w:ascii="Arial" w:hAnsi="Arial" w:cs="Arial"/>
          <w:szCs w:val="24"/>
        </w:rPr>
        <w:t>11 September 2018</w:t>
      </w:r>
      <w:r w:rsidRPr="003C008D">
        <w:rPr>
          <w:rFonts w:ascii="Arial" w:hAnsi="Arial" w:cs="Arial"/>
          <w:szCs w:val="24"/>
        </w:rPr>
        <w:tab/>
      </w:r>
      <w:r w:rsidRPr="003C008D">
        <w:rPr>
          <w:rFonts w:ascii="Arial" w:hAnsi="Arial" w:cs="Arial"/>
          <w:szCs w:val="24"/>
        </w:rPr>
        <w:tab/>
      </w:r>
      <w:r w:rsidRPr="003C008D">
        <w:rPr>
          <w:rFonts w:ascii="Arial" w:hAnsi="Arial" w:cs="Arial"/>
          <w:szCs w:val="24"/>
        </w:rPr>
        <w:tab/>
      </w:r>
      <w:r>
        <w:rPr>
          <w:rFonts w:ascii="Arial" w:hAnsi="Arial" w:cs="Arial"/>
          <w:szCs w:val="24"/>
        </w:rPr>
        <w:tab/>
      </w:r>
      <w:r w:rsidRPr="003C008D">
        <w:rPr>
          <w:rFonts w:ascii="Arial" w:hAnsi="Arial" w:cs="Arial"/>
          <w:szCs w:val="24"/>
        </w:rPr>
        <w:t>11 September 2018</w:t>
      </w:r>
    </w:p>
    <w:p w14:paraId="562A0F01" w14:textId="77777777" w:rsidR="006253A4" w:rsidRDefault="006253A4" w:rsidP="00371A85"/>
    <w:p w14:paraId="121DCEDF" w14:textId="77777777" w:rsidR="006253A4" w:rsidRDefault="006253A4" w:rsidP="00371A85"/>
    <w:p w14:paraId="1C960533" w14:textId="77777777" w:rsidR="006253A4" w:rsidRDefault="006253A4" w:rsidP="00371A85"/>
    <w:p w14:paraId="4252343E" w14:textId="77777777" w:rsidR="006253A4" w:rsidRDefault="006253A4" w:rsidP="00371A85"/>
    <w:p w14:paraId="5144A5BA" w14:textId="77777777" w:rsidR="004F39D7" w:rsidRDefault="004F39D7" w:rsidP="00371A85"/>
    <w:p w14:paraId="5196AFE1" w14:textId="77777777" w:rsidR="004F39D7" w:rsidRDefault="004F39D7" w:rsidP="00371A85"/>
    <w:p w14:paraId="66AB09A2" w14:textId="77777777" w:rsidR="006253A4" w:rsidRDefault="006253A4" w:rsidP="00371A85"/>
    <w:p w14:paraId="1CE62661" w14:textId="77777777" w:rsidR="004F39D7" w:rsidRDefault="004F39D7" w:rsidP="00371A85"/>
    <w:p w14:paraId="445B1055" w14:textId="1863175C" w:rsidR="004F39D7" w:rsidRPr="00CD422C" w:rsidRDefault="004F39D7" w:rsidP="00371A85">
      <w:pPr>
        <w:rPr>
          <w:rFonts w:ascii="Arial" w:hAnsi="Arial" w:cs="Arial"/>
          <w:b/>
          <w:sz w:val="32"/>
          <w:szCs w:val="32"/>
        </w:rPr>
      </w:pPr>
      <w:r w:rsidRPr="00CD422C">
        <w:rPr>
          <w:rFonts w:ascii="Arial" w:hAnsi="Arial" w:cs="Arial"/>
          <w:b/>
          <w:sz w:val="32"/>
          <w:szCs w:val="32"/>
        </w:rPr>
        <w:lastRenderedPageBreak/>
        <w:t>TABLE OF CONTENTS</w:t>
      </w:r>
    </w:p>
    <w:p w14:paraId="748E7673" w14:textId="77777777" w:rsidR="004F39D7" w:rsidRDefault="004F39D7" w:rsidP="00371A85"/>
    <w:p w14:paraId="34691AF3" w14:textId="77777777" w:rsidR="00CD422C" w:rsidRPr="00CD422C" w:rsidRDefault="00CD422C">
      <w:pPr>
        <w:pStyle w:val="TOC1"/>
        <w:tabs>
          <w:tab w:val="left" w:pos="480"/>
          <w:tab w:val="right" w:leader="dot" w:pos="9016"/>
        </w:tabs>
        <w:rPr>
          <w:rFonts w:ascii="Arial" w:eastAsiaTheme="minorEastAsia" w:hAnsi="Arial" w:cs="Arial"/>
          <w:noProof/>
          <w:sz w:val="22"/>
          <w:szCs w:val="22"/>
          <w:lang w:eastAsia="en-AU"/>
        </w:rPr>
      </w:pPr>
      <w:r w:rsidRPr="00CD422C">
        <w:rPr>
          <w:rFonts w:ascii="Arial" w:hAnsi="Arial" w:cs="Arial"/>
          <w:szCs w:val="24"/>
        </w:rPr>
        <w:fldChar w:fldCharType="begin"/>
      </w:r>
      <w:r w:rsidRPr="00CD422C">
        <w:rPr>
          <w:rFonts w:ascii="Arial" w:hAnsi="Arial" w:cs="Arial"/>
          <w:szCs w:val="24"/>
        </w:rPr>
        <w:instrText xml:space="preserve"> TOC \o "1-3" \h \z \u </w:instrText>
      </w:r>
      <w:r w:rsidRPr="00CD422C">
        <w:rPr>
          <w:rFonts w:ascii="Arial" w:hAnsi="Arial" w:cs="Arial"/>
          <w:szCs w:val="24"/>
        </w:rPr>
        <w:fldChar w:fldCharType="separate"/>
      </w:r>
      <w:hyperlink w:anchor="_Toc524709377" w:history="1">
        <w:r w:rsidRPr="00CD422C">
          <w:rPr>
            <w:rStyle w:val="Hyperlink"/>
            <w:rFonts w:ascii="Arial" w:hAnsi="Arial" w:cs="Arial"/>
            <w:noProof/>
          </w:rPr>
          <w:t>1.</w:t>
        </w:r>
        <w:r w:rsidRPr="00CD422C">
          <w:rPr>
            <w:rFonts w:ascii="Arial" w:eastAsiaTheme="minorEastAsia" w:hAnsi="Arial" w:cs="Arial"/>
            <w:noProof/>
            <w:sz w:val="22"/>
            <w:szCs w:val="22"/>
            <w:lang w:eastAsia="en-AU"/>
          </w:rPr>
          <w:tab/>
        </w:r>
        <w:r w:rsidRPr="00CD422C">
          <w:rPr>
            <w:rStyle w:val="Hyperlink"/>
            <w:rFonts w:ascii="Arial" w:hAnsi="Arial" w:cs="Arial"/>
            <w:noProof/>
          </w:rPr>
          <w:t>Introduction</w:t>
        </w:r>
        <w:r w:rsidRPr="00CD422C">
          <w:rPr>
            <w:rFonts w:ascii="Arial" w:hAnsi="Arial" w:cs="Arial"/>
            <w:noProof/>
            <w:webHidden/>
          </w:rPr>
          <w:tab/>
        </w:r>
        <w:r w:rsidRPr="00CD422C">
          <w:rPr>
            <w:rFonts w:ascii="Arial" w:hAnsi="Arial" w:cs="Arial"/>
            <w:noProof/>
            <w:webHidden/>
          </w:rPr>
          <w:fldChar w:fldCharType="begin"/>
        </w:r>
        <w:r w:rsidRPr="00CD422C">
          <w:rPr>
            <w:rFonts w:ascii="Arial" w:hAnsi="Arial" w:cs="Arial"/>
            <w:noProof/>
            <w:webHidden/>
          </w:rPr>
          <w:instrText xml:space="preserve"> PAGEREF _Toc524709377 \h </w:instrText>
        </w:r>
        <w:r w:rsidRPr="00CD422C">
          <w:rPr>
            <w:rFonts w:ascii="Arial" w:hAnsi="Arial" w:cs="Arial"/>
            <w:noProof/>
            <w:webHidden/>
          </w:rPr>
        </w:r>
        <w:r w:rsidRPr="00CD422C">
          <w:rPr>
            <w:rFonts w:ascii="Arial" w:hAnsi="Arial" w:cs="Arial"/>
            <w:noProof/>
            <w:webHidden/>
          </w:rPr>
          <w:fldChar w:fldCharType="separate"/>
        </w:r>
        <w:r w:rsidRPr="00CD422C">
          <w:rPr>
            <w:rFonts w:ascii="Arial" w:hAnsi="Arial" w:cs="Arial"/>
            <w:noProof/>
            <w:webHidden/>
          </w:rPr>
          <w:t>3</w:t>
        </w:r>
        <w:r w:rsidRPr="00CD422C">
          <w:rPr>
            <w:rFonts w:ascii="Arial" w:hAnsi="Arial" w:cs="Arial"/>
            <w:noProof/>
            <w:webHidden/>
          </w:rPr>
          <w:fldChar w:fldCharType="end"/>
        </w:r>
      </w:hyperlink>
    </w:p>
    <w:p w14:paraId="3F3BB06C"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78" w:history="1">
        <w:r w:rsidR="00CD422C" w:rsidRPr="00CD422C">
          <w:rPr>
            <w:rStyle w:val="Hyperlink"/>
            <w:rFonts w:ascii="Arial" w:hAnsi="Arial" w:cs="Arial"/>
            <w:noProof/>
          </w:rPr>
          <w:t>1.1</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Chairman’s Report</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_Toc524709378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3</w:t>
        </w:r>
        <w:r w:rsidR="00CD422C" w:rsidRPr="00CD422C">
          <w:rPr>
            <w:rFonts w:ascii="Arial" w:hAnsi="Arial" w:cs="Arial"/>
            <w:noProof/>
            <w:webHidden/>
          </w:rPr>
          <w:fldChar w:fldCharType="end"/>
        </w:r>
      </w:hyperlink>
    </w:p>
    <w:p w14:paraId="6FEBF865"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79" w:history="1">
        <w:r w:rsidR="00CD422C" w:rsidRPr="00CD422C">
          <w:rPr>
            <w:rStyle w:val="Hyperlink"/>
            <w:rFonts w:ascii="Arial" w:hAnsi="Arial" w:cs="Arial"/>
            <w:noProof/>
          </w:rPr>
          <w:t>1.2</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Chief Executive Report</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_Toc524709379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5</w:t>
        </w:r>
        <w:r w:rsidR="00CD422C" w:rsidRPr="00CD422C">
          <w:rPr>
            <w:rFonts w:ascii="Arial" w:hAnsi="Arial" w:cs="Arial"/>
            <w:noProof/>
            <w:webHidden/>
          </w:rPr>
          <w:fldChar w:fldCharType="end"/>
        </w:r>
      </w:hyperlink>
    </w:p>
    <w:p w14:paraId="4AA540BD"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80" w:history="1">
        <w:r w:rsidR="00CD422C" w:rsidRPr="00CD422C">
          <w:rPr>
            <w:rStyle w:val="Hyperlink"/>
            <w:rFonts w:ascii="Arial" w:hAnsi="Arial" w:cs="Arial"/>
            <w:noProof/>
          </w:rPr>
          <w:t>1.3</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Performance Highlights</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_Toc524709380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11</w:t>
        </w:r>
        <w:r w:rsidR="00CD422C" w:rsidRPr="00CD422C">
          <w:rPr>
            <w:rFonts w:ascii="Arial" w:hAnsi="Arial" w:cs="Arial"/>
            <w:noProof/>
            <w:webHidden/>
          </w:rPr>
          <w:fldChar w:fldCharType="end"/>
        </w:r>
      </w:hyperlink>
    </w:p>
    <w:p w14:paraId="40B16ADA" w14:textId="77777777" w:rsidR="00CD422C" w:rsidRPr="00CD422C" w:rsidRDefault="00FD78ED">
      <w:pPr>
        <w:pStyle w:val="TOC1"/>
        <w:tabs>
          <w:tab w:val="left" w:pos="480"/>
          <w:tab w:val="right" w:leader="dot" w:pos="9016"/>
        </w:tabs>
        <w:rPr>
          <w:rFonts w:ascii="Arial" w:eastAsiaTheme="minorEastAsia" w:hAnsi="Arial" w:cs="Arial"/>
          <w:noProof/>
          <w:sz w:val="22"/>
          <w:szCs w:val="22"/>
          <w:lang w:eastAsia="en-AU"/>
        </w:rPr>
      </w:pPr>
      <w:hyperlink w:anchor="_Toc524709381" w:history="1">
        <w:r w:rsidR="00CD422C" w:rsidRPr="00CD422C">
          <w:rPr>
            <w:rStyle w:val="Hyperlink"/>
            <w:rFonts w:ascii="Arial" w:hAnsi="Arial" w:cs="Arial"/>
            <w:noProof/>
          </w:rPr>
          <w:t>2.</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Overview</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_Toc524709381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12</w:t>
        </w:r>
        <w:r w:rsidR="00CD422C" w:rsidRPr="00CD422C">
          <w:rPr>
            <w:rFonts w:ascii="Arial" w:hAnsi="Arial" w:cs="Arial"/>
            <w:noProof/>
            <w:webHidden/>
          </w:rPr>
          <w:fldChar w:fldCharType="end"/>
        </w:r>
      </w:hyperlink>
    </w:p>
    <w:p w14:paraId="715CFF04"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82" w:history="1">
        <w:r w:rsidR="00CD422C" w:rsidRPr="00CD422C">
          <w:rPr>
            <w:rStyle w:val="Hyperlink"/>
            <w:rFonts w:ascii="Arial" w:hAnsi="Arial" w:cs="Arial"/>
            <w:noProof/>
          </w:rPr>
          <w:t>2.1</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What We Do</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_Toc524709382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12</w:t>
        </w:r>
        <w:r w:rsidR="00CD422C" w:rsidRPr="00CD422C">
          <w:rPr>
            <w:rFonts w:ascii="Arial" w:hAnsi="Arial" w:cs="Arial"/>
            <w:noProof/>
            <w:webHidden/>
          </w:rPr>
          <w:fldChar w:fldCharType="end"/>
        </w:r>
      </w:hyperlink>
    </w:p>
    <w:p w14:paraId="17B023C8"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83" w:history="1">
        <w:r w:rsidR="00CD422C" w:rsidRPr="00CD422C">
          <w:rPr>
            <w:rStyle w:val="Hyperlink"/>
            <w:rFonts w:ascii="Arial" w:hAnsi="Arial" w:cs="Arial"/>
            <w:noProof/>
          </w:rPr>
          <w:t>2.3</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Our Approach</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_Toc524709383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14</w:t>
        </w:r>
        <w:r w:rsidR="00CD422C" w:rsidRPr="00CD422C">
          <w:rPr>
            <w:rFonts w:ascii="Arial" w:hAnsi="Arial" w:cs="Arial"/>
            <w:noProof/>
            <w:webHidden/>
          </w:rPr>
          <w:fldChar w:fldCharType="end"/>
        </w:r>
      </w:hyperlink>
    </w:p>
    <w:p w14:paraId="5B5975B6"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84" w:history="1">
        <w:r w:rsidR="00CD422C" w:rsidRPr="00CD422C">
          <w:rPr>
            <w:rStyle w:val="Hyperlink"/>
            <w:rFonts w:ascii="Arial" w:hAnsi="Arial" w:cs="Arial"/>
            <w:noProof/>
          </w:rPr>
          <w:t>2.4</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Operational Structure</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_Toc524709384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15</w:t>
        </w:r>
        <w:r w:rsidR="00CD422C" w:rsidRPr="00CD422C">
          <w:rPr>
            <w:rFonts w:ascii="Arial" w:hAnsi="Arial" w:cs="Arial"/>
            <w:noProof/>
            <w:webHidden/>
          </w:rPr>
          <w:fldChar w:fldCharType="end"/>
        </w:r>
      </w:hyperlink>
    </w:p>
    <w:p w14:paraId="1205C0F4"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85" w:history="1">
        <w:r w:rsidR="00CD422C" w:rsidRPr="00CD422C">
          <w:rPr>
            <w:rStyle w:val="Hyperlink"/>
            <w:rFonts w:ascii="Arial" w:hAnsi="Arial" w:cs="Arial"/>
            <w:noProof/>
          </w:rPr>
          <w:t>2.5</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Governance</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_Toc524709385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22</w:t>
        </w:r>
        <w:r w:rsidR="00CD422C" w:rsidRPr="00CD422C">
          <w:rPr>
            <w:rFonts w:ascii="Arial" w:hAnsi="Arial" w:cs="Arial"/>
            <w:noProof/>
            <w:webHidden/>
          </w:rPr>
          <w:fldChar w:fldCharType="end"/>
        </w:r>
      </w:hyperlink>
    </w:p>
    <w:p w14:paraId="01C81175"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86" w:history="1">
        <w:r w:rsidR="00CD422C" w:rsidRPr="00CD422C">
          <w:rPr>
            <w:rStyle w:val="Hyperlink"/>
            <w:rFonts w:ascii="Arial" w:hAnsi="Arial" w:cs="Arial"/>
            <w:noProof/>
          </w:rPr>
          <w:t>2.6</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Performance Management Framework</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_Toc524709386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24</w:t>
        </w:r>
        <w:r w:rsidR="00CD422C" w:rsidRPr="00CD422C">
          <w:rPr>
            <w:rFonts w:ascii="Arial" w:hAnsi="Arial" w:cs="Arial"/>
            <w:noProof/>
            <w:webHidden/>
          </w:rPr>
          <w:fldChar w:fldCharType="end"/>
        </w:r>
      </w:hyperlink>
    </w:p>
    <w:p w14:paraId="73526D8C" w14:textId="77777777" w:rsidR="00CD422C" w:rsidRPr="00CD422C" w:rsidRDefault="00FD78ED">
      <w:pPr>
        <w:pStyle w:val="TOC1"/>
        <w:tabs>
          <w:tab w:val="left" w:pos="480"/>
          <w:tab w:val="right" w:leader="dot" w:pos="9016"/>
        </w:tabs>
        <w:rPr>
          <w:rFonts w:ascii="Arial" w:eastAsiaTheme="minorEastAsia" w:hAnsi="Arial" w:cs="Arial"/>
          <w:noProof/>
          <w:sz w:val="22"/>
          <w:szCs w:val="22"/>
          <w:lang w:eastAsia="en-AU"/>
        </w:rPr>
      </w:pPr>
      <w:hyperlink w:anchor="_Toc524709387" w:history="1">
        <w:r w:rsidR="00CD422C" w:rsidRPr="00CD422C">
          <w:rPr>
            <w:rStyle w:val="Hyperlink"/>
            <w:rFonts w:ascii="Arial" w:hAnsi="Arial" w:cs="Arial"/>
            <w:noProof/>
          </w:rPr>
          <w:t>3.</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Performance</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_Toc524709387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27</w:t>
        </w:r>
        <w:r w:rsidR="00CD422C" w:rsidRPr="00CD422C">
          <w:rPr>
            <w:rFonts w:ascii="Arial" w:hAnsi="Arial" w:cs="Arial"/>
            <w:noProof/>
            <w:webHidden/>
          </w:rPr>
          <w:fldChar w:fldCharType="end"/>
        </w:r>
      </w:hyperlink>
    </w:p>
    <w:p w14:paraId="3C418EF8"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88" w:history="1">
        <w:r w:rsidR="00CD422C" w:rsidRPr="00CD422C">
          <w:rPr>
            <w:rStyle w:val="Hyperlink"/>
            <w:rFonts w:ascii="Arial" w:hAnsi="Arial" w:cs="Arial"/>
            <w:noProof/>
          </w:rPr>
          <w:t>3.1</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Insurance Commission</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_Toc524709388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27</w:t>
        </w:r>
        <w:r w:rsidR="00CD422C" w:rsidRPr="00CD422C">
          <w:rPr>
            <w:rFonts w:ascii="Arial" w:hAnsi="Arial" w:cs="Arial"/>
            <w:noProof/>
            <w:webHidden/>
          </w:rPr>
          <w:fldChar w:fldCharType="end"/>
        </w:r>
      </w:hyperlink>
    </w:p>
    <w:p w14:paraId="3A169B48"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89" w:history="1">
        <w:r w:rsidR="00CD422C" w:rsidRPr="00CD422C">
          <w:rPr>
            <w:rStyle w:val="Hyperlink"/>
            <w:rFonts w:ascii="Arial" w:hAnsi="Arial" w:cs="Arial"/>
            <w:noProof/>
          </w:rPr>
          <w:t>3.2</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Motor Injury Insurance</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_Toc524709389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34</w:t>
        </w:r>
        <w:r w:rsidR="00CD422C" w:rsidRPr="00CD422C">
          <w:rPr>
            <w:rFonts w:ascii="Arial" w:hAnsi="Arial" w:cs="Arial"/>
            <w:noProof/>
            <w:webHidden/>
          </w:rPr>
          <w:fldChar w:fldCharType="end"/>
        </w:r>
      </w:hyperlink>
    </w:p>
    <w:p w14:paraId="104FF52C"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90" w:history="1">
        <w:r w:rsidR="00CD422C" w:rsidRPr="00CD422C">
          <w:rPr>
            <w:rStyle w:val="Hyperlink"/>
            <w:rFonts w:ascii="Arial" w:hAnsi="Arial" w:cs="Arial"/>
            <w:noProof/>
          </w:rPr>
          <w:t>3.3</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RiskCover</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_Toc524709390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60</w:t>
        </w:r>
        <w:r w:rsidR="00CD422C" w:rsidRPr="00CD422C">
          <w:rPr>
            <w:rFonts w:ascii="Arial" w:hAnsi="Arial" w:cs="Arial"/>
            <w:noProof/>
            <w:webHidden/>
          </w:rPr>
          <w:fldChar w:fldCharType="end"/>
        </w:r>
      </w:hyperlink>
    </w:p>
    <w:p w14:paraId="667D4E8E"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91" w:history="1">
        <w:r w:rsidR="00CD422C" w:rsidRPr="00CD422C">
          <w:rPr>
            <w:rStyle w:val="Hyperlink"/>
            <w:rFonts w:ascii="Arial" w:hAnsi="Arial" w:cs="Arial"/>
            <w:noProof/>
          </w:rPr>
          <w:t>3.4</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Investments</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_Toc524709391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78</w:t>
        </w:r>
        <w:r w:rsidR="00CD422C" w:rsidRPr="00CD422C">
          <w:rPr>
            <w:rFonts w:ascii="Arial" w:hAnsi="Arial" w:cs="Arial"/>
            <w:noProof/>
            <w:webHidden/>
          </w:rPr>
          <w:fldChar w:fldCharType="end"/>
        </w:r>
      </w:hyperlink>
    </w:p>
    <w:p w14:paraId="703B98EA"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92" w:history="1">
        <w:r w:rsidR="00CD422C" w:rsidRPr="00CD422C">
          <w:rPr>
            <w:rStyle w:val="Hyperlink"/>
            <w:rFonts w:ascii="Arial" w:hAnsi="Arial" w:cs="Arial"/>
            <w:noProof/>
          </w:rPr>
          <w:t>3.5</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Investigations and Intelligence</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_Toc524709392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83</w:t>
        </w:r>
        <w:r w:rsidR="00CD422C" w:rsidRPr="00CD422C">
          <w:rPr>
            <w:rFonts w:ascii="Arial" w:hAnsi="Arial" w:cs="Arial"/>
            <w:noProof/>
            <w:webHidden/>
          </w:rPr>
          <w:fldChar w:fldCharType="end"/>
        </w:r>
      </w:hyperlink>
    </w:p>
    <w:p w14:paraId="39664876" w14:textId="77777777" w:rsidR="00CD422C" w:rsidRPr="00CD422C" w:rsidRDefault="00FD78ED">
      <w:pPr>
        <w:pStyle w:val="TOC1"/>
        <w:tabs>
          <w:tab w:val="left" w:pos="480"/>
          <w:tab w:val="right" w:leader="dot" w:pos="9016"/>
        </w:tabs>
        <w:rPr>
          <w:rFonts w:ascii="Arial" w:eastAsiaTheme="minorEastAsia" w:hAnsi="Arial" w:cs="Arial"/>
          <w:noProof/>
          <w:sz w:val="22"/>
          <w:szCs w:val="22"/>
          <w:lang w:eastAsia="en-AU"/>
        </w:rPr>
      </w:pPr>
      <w:hyperlink w:anchor="_Toc524709393" w:history="1">
        <w:r w:rsidR="00CD422C" w:rsidRPr="00CD422C">
          <w:rPr>
            <w:rStyle w:val="Hyperlink"/>
            <w:rFonts w:ascii="Arial" w:hAnsi="Arial" w:cs="Arial"/>
            <w:noProof/>
          </w:rPr>
          <w:t>4.</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Significant Issues</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_Toc524709393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85</w:t>
        </w:r>
        <w:r w:rsidR="00CD422C" w:rsidRPr="00CD422C">
          <w:rPr>
            <w:rFonts w:ascii="Arial" w:hAnsi="Arial" w:cs="Arial"/>
            <w:noProof/>
            <w:webHidden/>
          </w:rPr>
          <w:fldChar w:fldCharType="end"/>
        </w:r>
      </w:hyperlink>
    </w:p>
    <w:p w14:paraId="23F6AFA9"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94" w:history="1">
        <w:r w:rsidR="00CD422C" w:rsidRPr="00CD422C">
          <w:rPr>
            <w:rStyle w:val="Hyperlink"/>
            <w:rFonts w:ascii="Arial" w:hAnsi="Arial" w:cs="Arial"/>
            <w:noProof/>
          </w:rPr>
          <w:t>4.1</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Bell Group Litigation</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_Toc524709394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85</w:t>
        </w:r>
        <w:r w:rsidR="00CD422C" w:rsidRPr="00CD422C">
          <w:rPr>
            <w:rFonts w:ascii="Arial" w:hAnsi="Arial" w:cs="Arial"/>
            <w:noProof/>
            <w:webHidden/>
          </w:rPr>
          <w:fldChar w:fldCharType="end"/>
        </w:r>
      </w:hyperlink>
    </w:p>
    <w:p w14:paraId="49BDA33C" w14:textId="77777777" w:rsidR="00CD422C" w:rsidRPr="00CD422C" w:rsidRDefault="00FD78ED">
      <w:pPr>
        <w:pStyle w:val="TOC1"/>
        <w:tabs>
          <w:tab w:val="left" w:pos="480"/>
          <w:tab w:val="right" w:leader="dot" w:pos="9016"/>
        </w:tabs>
        <w:rPr>
          <w:rFonts w:ascii="Arial" w:eastAsiaTheme="minorEastAsia" w:hAnsi="Arial" w:cs="Arial"/>
          <w:noProof/>
          <w:sz w:val="22"/>
          <w:szCs w:val="22"/>
          <w:lang w:eastAsia="en-AU"/>
        </w:rPr>
      </w:pPr>
      <w:hyperlink w:anchor="_Toc524709395" w:history="1">
        <w:r w:rsidR="00CD422C" w:rsidRPr="00CD422C">
          <w:rPr>
            <w:rStyle w:val="Hyperlink"/>
            <w:rFonts w:ascii="Arial" w:hAnsi="Arial" w:cs="Arial"/>
            <w:noProof/>
          </w:rPr>
          <w:t>5.</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Financial Statements</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_Toc524709395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86</w:t>
        </w:r>
        <w:r w:rsidR="00CD422C" w:rsidRPr="00CD422C">
          <w:rPr>
            <w:rFonts w:ascii="Arial" w:hAnsi="Arial" w:cs="Arial"/>
            <w:noProof/>
            <w:webHidden/>
          </w:rPr>
          <w:fldChar w:fldCharType="end"/>
        </w:r>
      </w:hyperlink>
    </w:p>
    <w:p w14:paraId="0B2C2185"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96" w:history="1">
        <w:r w:rsidR="00CD422C" w:rsidRPr="00CD422C">
          <w:rPr>
            <w:rStyle w:val="Hyperlink"/>
            <w:rFonts w:ascii="Arial" w:hAnsi="Arial" w:cs="Arial"/>
            <w:noProof/>
          </w:rPr>
          <w:t>5.1</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Statements of Compliance</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_Toc524709396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86</w:t>
        </w:r>
        <w:r w:rsidR="00CD422C" w:rsidRPr="00CD422C">
          <w:rPr>
            <w:rFonts w:ascii="Arial" w:hAnsi="Arial" w:cs="Arial"/>
            <w:noProof/>
            <w:webHidden/>
          </w:rPr>
          <w:fldChar w:fldCharType="end"/>
        </w:r>
      </w:hyperlink>
    </w:p>
    <w:p w14:paraId="370EB44C"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97" w:history="1">
        <w:r w:rsidR="00CD422C" w:rsidRPr="00CD422C">
          <w:rPr>
            <w:rStyle w:val="Hyperlink"/>
            <w:rFonts w:ascii="Arial" w:hAnsi="Arial" w:cs="Arial"/>
            <w:noProof/>
          </w:rPr>
          <w:t>5.2</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Financial Statements Index</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_Toc524709397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87</w:t>
        </w:r>
        <w:r w:rsidR="00CD422C" w:rsidRPr="00CD422C">
          <w:rPr>
            <w:rFonts w:ascii="Arial" w:hAnsi="Arial" w:cs="Arial"/>
            <w:noProof/>
            <w:webHidden/>
          </w:rPr>
          <w:fldChar w:fldCharType="end"/>
        </w:r>
      </w:hyperlink>
    </w:p>
    <w:p w14:paraId="4A279E4D" w14:textId="77777777" w:rsidR="00CD422C" w:rsidRPr="00CD422C" w:rsidRDefault="00FD78ED">
      <w:pPr>
        <w:pStyle w:val="TOC1"/>
        <w:tabs>
          <w:tab w:val="left" w:pos="480"/>
          <w:tab w:val="right" w:leader="dot" w:pos="9016"/>
        </w:tabs>
        <w:rPr>
          <w:rFonts w:ascii="Arial" w:eastAsiaTheme="minorEastAsia" w:hAnsi="Arial" w:cs="Arial"/>
          <w:noProof/>
          <w:sz w:val="22"/>
          <w:szCs w:val="22"/>
          <w:lang w:eastAsia="en-AU"/>
        </w:rPr>
      </w:pPr>
      <w:hyperlink w:anchor="_Toc524709398" w:history="1">
        <w:r w:rsidR="00CD422C" w:rsidRPr="00CD422C">
          <w:rPr>
            <w:rStyle w:val="Hyperlink"/>
            <w:rFonts w:ascii="Arial" w:hAnsi="Arial" w:cs="Arial"/>
            <w:noProof/>
          </w:rPr>
          <w:t>6.</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Disclosures and Legal Compliance</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_Toc524709398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88</w:t>
        </w:r>
        <w:r w:rsidR="00CD422C" w:rsidRPr="00CD422C">
          <w:rPr>
            <w:rFonts w:ascii="Arial" w:hAnsi="Arial" w:cs="Arial"/>
            <w:noProof/>
            <w:webHidden/>
          </w:rPr>
          <w:fldChar w:fldCharType="end"/>
        </w:r>
      </w:hyperlink>
    </w:p>
    <w:p w14:paraId="6CF0CFE1"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399" w:history="1">
        <w:r w:rsidR="00CD422C" w:rsidRPr="00CD422C">
          <w:rPr>
            <w:rStyle w:val="Hyperlink"/>
            <w:rFonts w:ascii="Arial" w:hAnsi="Arial" w:cs="Arial"/>
            <w:noProof/>
          </w:rPr>
          <w:t>6.1</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Ministerial Directions</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_Toc524709399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88</w:t>
        </w:r>
        <w:r w:rsidR="00CD422C" w:rsidRPr="00CD422C">
          <w:rPr>
            <w:rFonts w:ascii="Arial" w:hAnsi="Arial" w:cs="Arial"/>
            <w:noProof/>
            <w:webHidden/>
          </w:rPr>
          <w:fldChar w:fldCharType="end"/>
        </w:r>
      </w:hyperlink>
    </w:p>
    <w:p w14:paraId="6D63D7C2"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400" w:history="1">
        <w:r w:rsidR="00CD422C" w:rsidRPr="00CD422C">
          <w:rPr>
            <w:rStyle w:val="Hyperlink"/>
            <w:rFonts w:ascii="Arial" w:hAnsi="Arial" w:cs="Arial"/>
            <w:noProof/>
          </w:rPr>
          <w:t>6.2</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Other Financial Disclosures</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_Toc524709400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88</w:t>
        </w:r>
        <w:r w:rsidR="00CD422C" w:rsidRPr="00CD422C">
          <w:rPr>
            <w:rFonts w:ascii="Arial" w:hAnsi="Arial" w:cs="Arial"/>
            <w:noProof/>
            <w:webHidden/>
          </w:rPr>
          <w:fldChar w:fldCharType="end"/>
        </w:r>
      </w:hyperlink>
    </w:p>
    <w:p w14:paraId="2A591268" w14:textId="77777777" w:rsidR="00CD422C" w:rsidRPr="00CD422C" w:rsidRDefault="00FD78ED">
      <w:pPr>
        <w:pStyle w:val="TOC2"/>
        <w:tabs>
          <w:tab w:val="left" w:pos="880"/>
          <w:tab w:val="right" w:leader="dot" w:pos="9016"/>
        </w:tabs>
        <w:rPr>
          <w:rFonts w:ascii="Arial" w:eastAsiaTheme="minorEastAsia" w:hAnsi="Arial" w:cs="Arial"/>
          <w:noProof/>
          <w:sz w:val="22"/>
          <w:szCs w:val="22"/>
          <w:lang w:eastAsia="en-AU"/>
        </w:rPr>
      </w:pPr>
      <w:hyperlink w:anchor="_Toc524709401" w:history="1">
        <w:r w:rsidR="00CD422C" w:rsidRPr="00CD422C">
          <w:rPr>
            <w:rStyle w:val="Hyperlink"/>
            <w:rFonts w:ascii="Arial" w:hAnsi="Arial" w:cs="Arial"/>
            <w:noProof/>
          </w:rPr>
          <w:t>6.3</w:t>
        </w:r>
        <w:r w:rsidR="00CD422C" w:rsidRPr="00CD422C">
          <w:rPr>
            <w:rFonts w:ascii="Arial" w:eastAsiaTheme="minorEastAsia" w:hAnsi="Arial" w:cs="Arial"/>
            <w:noProof/>
            <w:sz w:val="22"/>
            <w:szCs w:val="22"/>
            <w:lang w:eastAsia="en-AU"/>
          </w:rPr>
          <w:tab/>
        </w:r>
        <w:r w:rsidR="00CD422C" w:rsidRPr="00CD422C">
          <w:rPr>
            <w:rStyle w:val="Hyperlink"/>
            <w:rFonts w:ascii="Arial" w:hAnsi="Arial" w:cs="Arial"/>
            <w:noProof/>
          </w:rPr>
          <w:t>Governance Disclosures</w:t>
        </w:r>
        <w:r w:rsidR="00CD422C" w:rsidRPr="00CD422C">
          <w:rPr>
            <w:rFonts w:ascii="Arial" w:hAnsi="Arial" w:cs="Arial"/>
            <w:noProof/>
            <w:webHidden/>
          </w:rPr>
          <w:tab/>
        </w:r>
        <w:r w:rsidR="00CD422C" w:rsidRPr="00CD422C">
          <w:rPr>
            <w:rFonts w:ascii="Arial" w:hAnsi="Arial" w:cs="Arial"/>
            <w:noProof/>
            <w:webHidden/>
          </w:rPr>
          <w:fldChar w:fldCharType="begin"/>
        </w:r>
        <w:r w:rsidR="00CD422C" w:rsidRPr="00CD422C">
          <w:rPr>
            <w:rFonts w:ascii="Arial" w:hAnsi="Arial" w:cs="Arial"/>
            <w:noProof/>
            <w:webHidden/>
          </w:rPr>
          <w:instrText xml:space="preserve"> PAGEREF _Toc524709401 \h </w:instrText>
        </w:r>
        <w:r w:rsidR="00CD422C" w:rsidRPr="00CD422C">
          <w:rPr>
            <w:rFonts w:ascii="Arial" w:hAnsi="Arial" w:cs="Arial"/>
            <w:noProof/>
            <w:webHidden/>
          </w:rPr>
        </w:r>
        <w:r w:rsidR="00CD422C" w:rsidRPr="00CD422C">
          <w:rPr>
            <w:rFonts w:ascii="Arial" w:hAnsi="Arial" w:cs="Arial"/>
            <w:noProof/>
            <w:webHidden/>
          </w:rPr>
          <w:fldChar w:fldCharType="separate"/>
        </w:r>
        <w:r w:rsidR="00CD422C" w:rsidRPr="00CD422C">
          <w:rPr>
            <w:rFonts w:ascii="Arial" w:hAnsi="Arial" w:cs="Arial"/>
            <w:noProof/>
            <w:webHidden/>
          </w:rPr>
          <w:t>89</w:t>
        </w:r>
        <w:r w:rsidR="00CD422C" w:rsidRPr="00CD422C">
          <w:rPr>
            <w:rFonts w:ascii="Arial" w:hAnsi="Arial" w:cs="Arial"/>
            <w:noProof/>
            <w:webHidden/>
          </w:rPr>
          <w:fldChar w:fldCharType="end"/>
        </w:r>
      </w:hyperlink>
    </w:p>
    <w:p w14:paraId="443CAEB0" w14:textId="2A470233" w:rsidR="004F39D7" w:rsidRDefault="00CD422C" w:rsidP="00CD422C">
      <w:pPr>
        <w:pStyle w:val="TOC2"/>
        <w:tabs>
          <w:tab w:val="left" w:pos="880"/>
          <w:tab w:val="right" w:leader="dot" w:pos="9016"/>
        </w:tabs>
        <w:rPr>
          <w:rFonts w:ascii="Arial" w:hAnsi="Arial" w:cs="Arial"/>
          <w:szCs w:val="24"/>
        </w:rPr>
      </w:pPr>
      <w:r w:rsidRPr="00CD422C">
        <w:rPr>
          <w:rFonts w:ascii="Arial" w:hAnsi="Arial" w:cs="Arial"/>
          <w:szCs w:val="24"/>
        </w:rPr>
        <w:fldChar w:fldCharType="end"/>
      </w:r>
    </w:p>
    <w:p w14:paraId="3623ED09" w14:textId="77777777" w:rsidR="00CD422C" w:rsidRDefault="00CD422C" w:rsidP="00CD422C">
      <w:pPr>
        <w:rPr>
          <w:lang w:eastAsia="en-AU"/>
        </w:rPr>
      </w:pPr>
    </w:p>
    <w:p w14:paraId="1B49302A" w14:textId="77777777" w:rsidR="00CD422C" w:rsidRDefault="00CD422C" w:rsidP="00CD422C">
      <w:pPr>
        <w:rPr>
          <w:lang w:eastAsia="en-AU"/>
        </w:rPr>
      </w:pPr>
    </w:p>
    <w:p w14:paraId="61C97015" w14:textId="77777777" w:rsidR="00CD422C" w:rsidRDefault="00CD422C" w:rsidP="00CD422C">
      <w:pPr>
        <w:rPr>
          <w:lang w:eastAsia="en-AU"/>
        </w:rPr>
      </w:pPr>
    </w:p>
    <w:p w14:paraId="07DDB1A5" w14:textId="77777777" w:rsidR="00CD422C" w:rsidRDefault="00CD422C" w:rsidP="00CD422C">
      <w:pPr>
        <w:rPr>
          <w:lang w:eastAsia="en-AU"/>
        </w:rPr>
      </w:pPr>
    </w:p>
    <w:p w14:paraId="5EF4BC83" w14:textId="77777777" w:rsidR="00CD422C" w:rsidRDefault="00CD422C" w:rsidP="00CD422C">
      <w:pPr>
        <w:rPr>
          <w:lang w:eastAsia="en-AU"/>
        </w:rPr>
      </w:pPr>
    </w:p>
    <w:p w14:paraId="6DF0E8EB" w14:textId="77777777" w:rsidR="00CD422C" w:rsidRDefault="00CD422C" w:rsidP="00CD422C">
      <w:pPr>
        <w:rPr>
          <w:lang w:eastAsia="en-AU"/>
        </w:rPr>
      </w:pPr>
    </w:p>
    <w:p w14:paraId="4E247ED3" w14:textId="77777777" w:rsidR="00CD422C" w:rsidRDefault="00CD422C" w:rsidP="00CD422C">
      <w:pPr>
        <w:rPr>
          <w:lang w:eastAsia="en-AU"/>
        </w:rPr>
      </w:pPr>
    </w:p>
    <w:p w14:paraId="69223D71" w14:textId="77777777" w:rsidR="00CD422C" w:rsidRPr="00CD422C" w:rsidRDefault="00CD422C" w:rsidP="00CD422C">
      <w:pPr>
        <w:rPr>
          <w:lang w:eastAsia="en-AU"/>
        </w:rPr>
      </w:pPr>
    </w:p>
    <w:p w14:paraId="0A7FD036" w14:textId="4F9C710B" w:rsidR="00371A85" w:rsidRDefault="0061265A" w:rsidP="00371A85">
      <w:pPr>
        <w:pStyle w:val="ARHeading1"/>
        <w:numPr>
          <w:ilvl w:val="0"/>
          <w:numId w:val="15"/>
        </w:numPr>
        <w:ind w:left="709" w:hanging="709"/>
      </w:pPr>
      <w:bookmarkStart w:id="1" w:name="_Toc524709377"/>
      <w:r>
        <w:lastRenderedPageBreak/>
        <w:t>Introduction</w:t>
      </w:r>
      <w:bookmarkEnd w:id="1"/>
      <w:r w:rsidR="00655467">
        <w:br/>
      </w:r>
    </w:p>
    <w:p w14:paraId="64634BE2" w14:textId="77777777" w:rsidR="009A7694" w:rsidRPr="003F3F36" w:rsidRDefault="00371A85" w:rsidP="00655467">
      <w:pPr>
        <w:pStyle w:val="ARHeading2"/>
        <w:numPr>
          <w:ilvl w:val="1"/>
          <w:numId w:val="15"/>
        </w:numPr>
      </w:pPr>
      <w:bookmarkStart w:id="2" w:name="_Toc524709378"/>
      <w:r w:rsidRPr="003F3F36">
        <w:t>Chairman’s Report</w:t>
      </w:r>
      <w:bookmarkEnd w:id="2"/>
      <w:r w:rsidR="00655467">
        <w:br/>
      </w:r>
    </w:p>
    <w:p w14:paraId="5062FF25" w14:textId="77777777" w:rsidR="00371A85" w:rsidRPr="00D214A7" w:rsidRDefault="00371A85" w:rsidP="00371A85">
      <w:pPr>
        <w:jc w:val="left"/>
        <w:rPr>
          <w:rFonts w:ascii="Arial" w:eastAsiaTheme="majorEastAsia" w:hAnsi="Arial" w:cs="Arial"/>
          <w:szCs w:val="24"/>
        </w:rPr>
      </w:pPr>
      <w:r w:rsidRPr="00D214A7">
        <w:rPr>
          <w:rFonts w:ascii="Arial" w:eastAsiaTheme="majorEastAsia" w:hAnsi="Arial" w:cs="Arial"/>
          <w:szCs w:val="24"/>
        </w:rPr>
        <w:t>It is my pleasure to present the Insurance Commission’s Annual Report for the financial year ended 30 June 2018.</w:t>
      </w:r>
    </w:p>
    <w:p w14:paraId="00E30F1A" w14:textId="77777777" w:rsidR="00371A85" w:rsidRPr="00D214A7" w:rsidRDefault="00371A85" w:rsidP="00371A85">
      <w:pPr>
        <w:jc w:val="left"/>
        <w:rPr>
          <w:rFonts w:ascii="Arial" w:eastAsiaTheme="majorEastAsia" w:hAnsi="Arial" w:cs="Arial"/>
          <w:szCs w:val="24"/>
        </w:rPr>
      </w:pPr>
    </w:p>
    <w:p w14:paraId="21C71810" w14:textId="77777777" w:rsidR="00371A85" w:rsidRPr="00D214A7" w:rsidRDefault="00371A85" w:rsidP="00371A85">
      <w:pPr>
        <w:jc w:val="left"/>
        <w:rPr>
          <w:rFonts w:ascii="Arial" w:eastAsiaTheme="majorEastAsia" w:hAnsi="Arial" w:cs="Arial"/>
          <w:szCs w:val="24"/>
        </w:rPr>
      </w:pPr>
      <w:r w:rsidRPr="00D214A7">
        <w:rPr>
          <w:rFonts w:ascii="Arial" w:eastAsiaTheme="majorEastAsia" w:hAnsi="Arial" w:cs="Arial"/>
          <w:szCs w:val="24"/>
        </w:rPr>
        <w:t>On behalf of the Board of Commissioners of the Insurance Commission, I would like to express my appreciat</w:t>
      </w:r>
      <w:r>
        <w:rPr>
          <w:rFonts w:ascii="Arial" w:eastAsiaTheme="majorEastAsia" w:hAnsi="Arial" w:cs="Arial"/>
          <w:szCs w:val="24"/>
        </w:rPr>
        <w:t>ion to the staff and Executive t</w:t>
      </w:r>
      <w:r w:rsidRPr="00D214A7">
        <w:rPr>
          <w:rFonts w:ascii="Arial" w:eastAsiaTheme="majorEastAsia" w:hAnsi="Arial" w:cs="Arial"/>
          <w:szCs w:val="24"/>
        </w:rPr>
        <w:t xml:space="preserve">eam for another set of excellent results in 2018. </w:t>
      </w:r>
    </w:p>
    <w:p w14:paraId="6DF2D974" w14:textId="77777777" w:rsidR="00371A85" w:rsidRPr="00D214A7" w:rsidRDefault="00371A85" w:rsidP="00371A85">
      <w:pPr>
        <w:jc w:val="left"/>
        <w:rPr>
          <w:rFonts w:ascii="Arial" w:eastAsiaTheme="majorEastAsia" w:hAnsi="Arial" w:cs="Arial"/>
          <w:szCs w:val="24"/>
        </w:rPr>
      </w:pPr>
    </w:p>
    <w:p w14:paraId="188D32F6" w14:textId="77777777" w:rsidR="00371A85" w:rsidRPr="00D214A7" w:rsidRDefault="00371A85" w:rsidP="00371A85">
      <w:pPr>
        <w:jc w:val="left"/>
        <w:rPr>
          <w:rFonts w:ascii="Arial" w:eastAsiaTheme="majorEastAsia" w:hAnsi="Arial" w:cs="Arial"/>
          <w:szCs w:val="24"/>
        </w:rPr>
      </w:pPr>
      <w:r w:rsidRPr="00D214A7">
        <w:rPr>
          <w:rFonts w:ascii="Arial" w:eastAsiaTheme="majorEastAsia" w:hAnsi="Arial" w:cs="Arial"/>
          <w:szCs w:val="24"/>
        </w:rPr>
        <w:t xml:space="preserve">In 2018, the Insurance Commission, excluding the RiskCover Fund that it manages on behalf of the Government, reported a profit after tax </w:t>
      </w:r>
      <w:r w:rsidRPr="007D73E1">
        <w:rPr>
          <w:rFonts w:ascii="Arial" w:eastAsiaTheme="majorEastAsia" w:hAnsi="Arial" w:cs="Arial"/>
          <w:szCs w:val="24"/>
        </w:rPr>
        <w:t xml:space="preserve">of </w:t>
      </w:r>
      <w:r>
        <w:rPr>
          <w:rFonts w:ascii="Arial" w:eastAsiaTheme="majorEastAsia" w:hAnsi="Arial" w:cs="Arial"/>
          <w:szCs w:val="24"/>
        </w:rPr>
        <w:t>$277.7</w:t>
      </w:r>
      <w:r w:rsidRPr="007D73E1">
        <w:rPr>
          <w:rFonts w:ascii="Arial" w:eastAsiaTheme="majorEastAsia" w:hAnsi="Arial" w:cs="Arial"/>
          <w:szCs w:val="24"/>
        </w:rPr>
        <w:t xml:space="preserve"> million</w:t>
      </w:r>
      <w:r w:rsidRPr="00D214A7">
        <w:rPr>
          <w:rFonts w:ascii="Arial" w:eastAsiaTheme="majorEastAsia" w:hAnsi="Arial" w:cs="Arial"/>
          <w:szCs w:val="24"/>
        </w:rPr>
        <w:t>. Due to another year of strong investment performance, the total assets of the Insurance</w:t>
      </w:r>
      <w:r>
        <w:rPr>
          <w:rFonts w:ascii="Arial" w:eastAsiaTheme="majorEastAsia" w:hAnsi="Arial" w:cs="Arial"/>
          <w:szCs w:val="24"/>
        </w:rPr>
        <w:t xml:space="preserve"> Commission at 30 June 2018 grew to</w:t>
      </w:r>
      <w:r w:rsidRPr="00D214A7">
        <w:rPr>
          <w:rFonts w:ascii="Arial" w:eastAsiaTheme="majorEastAsia" w:hAnsi="Arial" w:cs="Arial"/>
          <w:szCs w:val="24"/>
        </w:rPr>
        <w:t xml:space="preserve"> </w:t>
      </w:r>
      <w:r w:rsidRPr="007D73E1">
        <w:rPr>
          <w:rFonts w:ascii="Arial" w:eastAsiaTheme="majorEastAsia" w:hAnsi="Arial" w:cs="Arial"/>
          <w:szCs w:val="24"/>
        </w:rPr>
        <w:t>$</w:t>
      </w:r>
      <w:r>
        <w:rPr>
          <w:rFonts w:ascii="Arial" w:eastAsiaTheme="majorEastAsia" w:hAnsi="Arial" w:cs="Arial"/>
          <w:szCs w:val="24"/>
        </w:rPr>
        <w:t>5.6</w:t>
      </w:r>
      <w:r w:rsidRPr="007D73E1">
        <w:rPr>
          <w:rFonts w:ascii="Arial" w:eastAsiaTheme="majorEastAsia" w:hAnsi="Arial" w:cs="Arial"/>
          <w:szCs w:val="24"/>
        </w:rPr>
        <w:t xml:space="preserve"> billion</w:t>
      </w:r>
      <w:r w:rsidRPr="00D214A7">
        <w:rPr>
          <w:rFonts w:ascii="Arial" w:eastAsiaTheme="majorEastAsia" w:hAnsi="Arial" w:cs="Arial"/>
          <w:szCs w:val="24"/>
        </w:rPr>
        <w:t xml:space="preserve">. </w:t>
      </w:r>
    </w:p>
    <w:p w14:paraId="7BE8D451" w14:textId="77777777" w:rsidR="00371A85" w:rsidRPr="003F3F36" w:rsidRDefault="00371A85" w:rsidP="00371A85">
      <w:pPr>
        <w:jc w:val="left"/>
        <w:rPr>
          <w:rFonts w:ascii="Arial" w:eastAsiaTheme="majorEastAsia" w:hAnsi="Arial" w:cs="Arial"/>
          <w:sz w:val="32"/>
          <w:szCs w:val="26"/>
        </w:rPr>
      </w:pPr>
    </w:p>
    <w:p w14:paraId="2E26162C" w14:textId="77777777" w:rsidR="00371A85" w:rsidRPr="000F2CF2" w:rsidRDefault="00371A85" w:rsidP="00371A85">
      <w:pPr>
        <w:pStyle w:val="ARHeading3"/>
      </w:pPr>
      <w:r w:rsidRPr="000F2CF2">
        <w:t>Service Delivery</w:t>
      </w:r>
    </w:p>
    <w:p w14:paraId="062D5B72" w14:textId="77777777" w:rsidR="00371A85" w:rsidRPr="00D214A7" w:rsidRDefault="00371A85" w:rsidP="00371A85">
      <w:pPr>
        <w:jc w:val="left"/>
        <w:rPr>
          <w:rFonts w:ascii="Arial" w:eastAsiaTheme="majorEastAsia" w:hAnsi="Arial" w:cs="Arial"/>
          <w:szCs w:val="24"/>
        </w:rPr>
      </w:pPr>
      <w:r w:rsidRPr="00D214A7">
        <w:rPr>
          <w:rFonts w:ascii="Arial" w:eastAsiaTheme="majorEastAsia" w:hAnsi="Arial" w:cs="Arial"/>
          <w:szCs w:val="24"/>
        </w:rPr>
        <w:t>The Insurance Commission delivers motor injury</w:t>
      </w:r>
      <w:r>
        <w:rPr>
          <w:rFonts w:ascii="Arial" w:eastAsiaTheme="majorEastAsia" w:hAnsi="Arial" w:cs="Arial"/>
          <w:szCs w:val="24"/>
        </w:rPr>
        <w:t xml:space="preserve"> insurance services to over 1.8 </w:t>
      </w:r>
      <w:r w:rsidRPr="00D214A7">
        <w:rPr>
          <w:rFonts w:ascii="Arial" w:eastAsiaTheme="majorEastAsia" w:hAnsi="Arial" w:cs="Arial"/>
          <w:szCs w:val="24"/>
        </w:rPr>
        <w:t>million motorists in Western Australia and I am proud to report</w:t>
      </w:r>
      <w:r>
        <w:rPr>
          <w:rFonts w:ascii="Arial" w:eastAsiaTheme="majorEastAsia" w:hAnsi="Arial" w:cs="Arial"/>
          <w:szCs w:val="24"/>
        </w:rPr>
        <w:t xml:space="preserve"> that we continue to deliver the</w:t>
      </w:r>
      <w:r w:rsidRPr="00D214A7">
        <w:rPr>
          <w:rFonts w:ascii="Arial" w:eastAsiaTheme="majorEastAsia" w:hAnsi="Arial" w:cs="Arial"/>
          <w:szCs w:val="24"/>
        </w:rPr>
        <w:t>se services at a rate which is more a</w:t>
      </w:r>
      <w:r>
        <w:rPr>
          <w:rFonts w:ascii="Arial" w:eastAsiaTheme="majorEastAsia" w:hAnsi="Arial" w:cs="Arial"/>
          <w:szCs w:val="24"/>
        </w:rPr>
        <w:t>ffordable than equivalent cover</w:t>
      </w:r>
      <w:r w:rsidRPr="00D214A7">
        <w:rPr>
          <w:rFonts w:ascii="Arial" w:eastAsiaTheme="majorEastAsia" w:hAnsi="Arial" w:cs="Arial"/>
          <w:szCs w:val="24"/>
        </w:rPr>
        <w:t xml:space="preserve"> in most other Australian jurisdictions. </w:t>
      </w:r>
    </w:p>
    <w:p w14:paraId="1519E681" w14:textId="77777777" w:rsidR="00371A85" w:rsidRPr="00D214A7" w:rsidRDefault="00371A85" w:rsidP="00371A85">
      <w:pPr>
        <w:jc w:val="left"/>
        <w:rPr>
          <w:rFonts w:ascii="Arial" w:eastAsiaTheme="majorEastAsia" w:hAnsi="Arial" w:cs="Arial"/>
          <w:szCs w:val="24"/>
        </w:rPr>
      </w:pPr>
    </w:p>
    <w:p w14:paraId="1DAC9E49" w14:textId="77777777" w:rsidR="00371A85" w:rsidRPr="00D214A7" w:rsidRDefault="00371A85" w:rsidP="00371A85">
      <w:pPr>
        <w:jc w:val="left"/>
        <w:rPr>
          <w:rFonts w:ascii="Arial" w:eastAsiaTheme="majorEastAsia" w:hAnsi="Arial" w:cs="Arial"/>
          <w:szCs w:val="24"/>
        </w:rPr>
      </w:pPr>
      <w:r w:rsidRPr="00D214A7">
        <w:rPr>
          <w:rFonts w:ascii="Arial" w:eastAsiaTheme="majorEastAsia" w:hAnsi="Arial" w:cs="Arial"/>
          <w:szCs w:val="24"/>
        </w:rPr>
        <w:t xml:space="preserve">The Catastrophic Injuries Support (CIS) scheme is in its second year and continues to operate well. It is pleasing to see that Management’s efforts to deliver the scheme with a person-centred approach is being reflected in the early rehabilitation gains of many clients and in the positive feedback received from clients, their families and service providers.  </w:t>
      </w:r>
    </w:p>
    <w:p w14:paraId="02410B93" w14:textId="77777777" w:rsidR="00371A85" w:rsidRPr="00D214A7" w:rsidRDefault="00371A85" w:rsidP="00371A85">
      <w:pPr>
        <w:jc w:val="left"/>
        <w:rPr>
          <w:rFonts w:ascii="Arial" w:eastAsiaTheme="majorEastAsia" w:hAnsi="Arial" w:cs="Arial"/>
          <w:szCs w:val="24"/>
        </w:rPr>
      </w:pPr>
    </w:p>
    <w:p w14:paraId="1465AA98" w14:textId="77777777" w:rsidR="00371A85" w:rsidRDefault="00371A85" w:rsidP="00371A85">
      <w:pPr>
        <w:jc w:val="left"/>
        <w:rPr>
          <w:rFonts w:ascii="Arial" w:eastAsiaTheme="majorEastAsia" w:hAnsi="Arial" w:cs="Arial"/>
          <w:szCs w:val="24"/>
        </w:rPr>
      </w:pPr>
      <w:r w:rsidRPr="00D214A7">
        <w:rPr>
          <w:rFonts w:ascii="Arial" w:eastAsiaTheme="majorEastAsia" w:hAnsi="Arial" w:cs="Arial"/>
          <w:szCs w:val="24"/>
        </w:rPr>
        <w:t xml:space="preserve">The Insurance Commission has a number of initiatives underway to further improve its customer service delivery in line with the recommendations of </w:t>
      </w:r>
      <w:r>
        <w:rPr>
          <w:rFonts w:ascii="Arial" w:eastAsiaTheme="majorEastAsia" w:hAnsi="Arial" w:cs="Arial"/>
          <w:szCs w:val="24"/>
        </w:rPr>
        <w:t xml:space="preserve">the </w:t>
      </w:r>
      <w:r w:rsidRPr="00D214A7">
        <w:rPr>
          <w:rFonts w:ascii="Arial" w:eastAsiaTheme="majorEastAsia" w:hAnsi="Arial" w:cs="Arial"/>
          <w:szCs w:val="24"/>
        </w:rPr>
        <w:t xml:space="preserve">Government’s Service Priority Review. These initiatives include the </w:t>
      </w:r>
      <w:r>
        <w:rPr>
          <w:rFonts w:ascii="Arial" w:eastAsiaTheme="majorEastAsia" w:hAnsi="Arial" w:cs="Arial"/>
          <w:szCs w:val="24"/>
        </w:rPr>
        <w:t xml:space="preserve">planned </w:t>
      </w:r>
      <w:r w:rsidRPr="00D214A7">
        <w:rPr>
          <w:rFonts w:ascii="Arial" w:eastAsiaTheme="majorEastAsia" w:hAnsi="Arial" w:cs="Arial"/>
          <w:szCs w:val="24"/>
        </w:rPr>
        <w:t xml:space="preserve">introduction of online claims for the 10,000 people who lodge motor injury insurance claims each year, which follows a similar initiative introduced by </w:t>
      </w:r>
      <w:r>
        <w:rPr>
          <w:rFonts w:ascii="Arial" w:eastAsiaTheme="majorEastAsia" w:hAnsi="Arial" w:cs="Arial"/>
          <w:szCs w:val="24"/>
        </w:rPr>
        <w:t xml:space="preserve">the </w:t>
      </w:r>
      <w:r w:rsidRPr="00D214A7">
        <w:rPr>
          <w:rFonts w:ascii="Arial" w:eastAsiaTheme="majorEastAsia" w:hAnsi="Arial" w:cs="Arial"/>
          <w:szCs w:val="24"/>
        </w:rPr>
        <w:t>RiskCover Division for online workers’ compensation claims dur</w:t>
      </w:r>
      <w:r>
        <w:rPr>
          <w:rFonts w:ascii="Arial" w:eastAsiaTheme="majorEastAsia" w:hAnsi="Arial" w:cs="Arial"/>
          <w:szCs w:val="24"/>
        </w:rPr>
        <w:t xml:space="preserve">ing the year. </w:t>
      </w:r>
    </w:p>
    <w:p w14:paraId="1B4E58CC" w14:textId="77777777" w:rsidR="00371A85" w:rsidRDefault="00371A85" w:rsidP="00371A85">
      <w:pPr>
        <w:jc w:val="left"/>
        <w:rPr>
          <w:rFonts w:ascii="Arial" w:eastAsiaTheme="majorEastAsia" w:hAnsi="Arial" w:cs="Arial"/>
          <w:szCs w:val="24"/>
        </w:rPr>
      </w:pPr>
    </w:p>
    <w:p w14:paraId="27B150D8" w14:textId="77777777" w:rsidR="00371A85" w:rsidRPr="00371A85" w:rsidRDefault="00371A85" w:rsidP="00371A85">
      <w:pPr>
        <w:jc w:val="left"/>
        <w:rPr>
          <w:rFonts w:ascii="Arial" w:eastAsiaTheme="majorEastAsia" w:hAnsi="Arial" w:cs="Arial"/>
          <w:szCs w:val="24"/>
        </w:rPr>
      </w:pPr>
      <w:r>
        <w:rPr>
          <w:rFonts w:ascii="Arial" w:eastAsiaTheme="majorEastAsia" w:hAnsi="Arial" w:cs="Arial"/>
          <w:szCs w:val="24"/>
        </w:rPr>
        <w:t>I applaud the staff</w:t>
      </w:r>
      <w:r w:rsidRPr="00D214A7">
        <w:rPr>
          <w:rFonts w:ascii="Arial" w:eastAsiaTheme="majorEastAsia" w:hAnsi="Arial" w:cs="Arial"/>
          <w:szCs w:val="24"/>
        </w:rPr>
        <w:t xml:space="preserve"> at the Insurance Commission for striving to continuously improve its services to meet the needs of the consumer.  </w:t>
      </w:r>
    </w:p>
    <w:p w14:paraId="587733ED" w14:textId="77777777" w:rsidR="00371A85" w:rsidRPr="00371A85" w:rsidRDefault="00371A85" w:rsidP="00371A85">
      <w:pPr>
        <w:jc w:val="left"/>
        <w:rPr>
          <w:rFonts w:ascii="Arial" w:eastAsiaTheme="majorEastAsia" w:hAnsi="Arial" w:cs="Arial"/>
          <w:szCs w:val="24"/>
        </w:rPr>
      </w:pPr>
    </w:p>
    <w:p w14:paraId="700FF38C" w14:textId="77777777" w:rsidR="00371A85" w:rsidRPr="00D214A7" w:rsidRDefault="00371A85" w:rsidP="00371A85">
      <w:pPr>
        <w:pStyle w:val="ARHeading3"/>
      </w:pPr>
      <w:r w:rsidRPr="00D214A7">
        <w:t>Shareholder Return</w:t>
      </w:r>
    </w:p>
    <w:p w14:paraId="2EFF23A4" w14:textId="77777777" w:rsidR="00371A85" w:rsidRDefault="00371A85" w:rsidP="00371A85">
      <w:pPr>
        <w:jc w:val="left"/>
        <w:rPr>
          <w:rFonts w:ascii="Arial" w:eastAsiaTheme="majorEastAsia" w:hAnsi="Arial" w:cs="Arial"/>
          <w:szCs w:val="24"/>
        </w:rPr>
      </w:pPr>
      <w:r w:rsidRPr="00D214A7">
        <w:rPr>
          <w:rFonts w:ascii="Arial" w:eastAsiaTheme="majorEastAsia" w:hAnsi="Arial" w:cs="Arial"/>
          <w:szCs w:val="24"/>
        </w:rPr>
        <w:t>As a Government Trading Enterprise, the Insurance Commission continues to deliver significant returns to its shareholder</w:t>
      </w:r>
      <w:r>
        <w:rPr>
          <w:rFonts w:ascii="Arial" w:eastAsiaTheme="majorEastAsia" w:hAnsi="Arial" w:cs="Arial"/>
          <w:szCs w:val="24"/>
        </w:rPr>
        <w:t>, the State Government</w:t>
      </w:r>
      <w:r w:rsidRPr="00D214A7">
        <w:rPr>
          <w:rFonts w:ascii="Arial" w:eastAsiaTheme="majorEastAsia" w:hAnsi="Arial" w:cs="Arial"/>
          <w:szCs w:val="24"/>
        </w:rPr>
        <w:t>. In 2018, dividend</w:t>
      </w:r>
      <w:r>
        <w:rPr>
          <w:rFonts w:ascii="Arial" w:eastAsiaTheme="majorEastAsia" w:hAnsi="Arial" w:cs="Arial"/>
          <w:szCs w:val="24"/>
        </w:rPr>
        <w:t>s</w:t>
      </w:r>
      <w:r w:rsidRPr="00D214A7">
        <w:rPr>
          <w:rFonts w:ascii="Arial" w:eastAsiaTheme="majorEastAsia" w:hAnsi="Arial" w:cs="Arial"/>
          <w:szCs w:val="24"/>
        </w:rPr>
        <w:t xml:space="preserve"> of </w:t>
      </w:r>
      <w:r>
        <w:rPr>
          <w:rFonts w:ascii="Arial" w:eastAsiaTheme="majorEastAsia" w:hAnsi="Arial" w:cs="Arial"/>
          <w:szCs w:val="24"/>
        </w:rPr>
        <w:t>$149.3 million were</w:t>
      </w:r>
      <w:r w:rsidRPr="00D214A7">
        <w:rPr>
          <w:rFonts w:ascii="Arial" w:eastAsiaTheme="majorEastAsia" w:hAnsi="Arial" w:cs="Arial"/>
          <w:szCs w:val="24"/>
        </w:rPr>
        <w:t xml:space="preserve"> paid to Government from the </w:t>
      </w:r>
      <w:r>
        <w:rPr>
          <w:rFonts w:ascii="Arial" w:eastAsiaTheme="majorEastAsia" w:hAnsi="Arial" w:cs="Arial"/>
          <w:szCs w:val="24"/>
        </w:rPr>
        <w:t xml:space="preserve">investment returns achieved for the </w:t>
      </w:r>
      <w:r w:rsidRPr="00D214A7">
        <w:rPr>
          <w:rFonts w:ascii="Arial" w:eastAsiaTheme="majorEastAsia" w:hAnsi="Arial" w:cs="Arial"/>
          <w:szCs w:val="24"/>
        </w:rPr>
        <w:t>Third Party Insurance Fund</w:t>
      </w:r>
      <w:r>
        <w:rPr>
          <w:rFonts w:ascii="Arial" w:eastAsiaTheme="majorEastAsia" w:hAnsi="Arial" w:cs="Arial"/>
          <w:szCs w:val="24"/>
        </w:rPr>
        <w:t xml:space="preserve">. </w:t>
      </w:r>
    </w:p>
    <w:p w14:paraId="0D072612" w14:textId="77777777" w:rsidR="00371A85" w:rsidRPr="00D214A7" w:rsidRDefault="00371A85" w:rsidP="00371A85">
      <w:pPr>
        <w:jc w:val="left"/>
        <w:rPr>
          <w:rFonts w:ascii="Arial" w:eastAsiaTheme="majorEastAsia" w:hAnsi="Arial" w:cs="Arial"/>
          <w:szCs w:val="24"/>
        </w:rPr>
      </w:pPr>
    </w:p>
    <w:p w14:paraId="664C2BB2" w14:textId="77777777" w:rsidR="00371A85" w:rsidRPr="00D214A7" w:rsidRDefault="00371A85" w:rsidP="00371A85">
      <w:pPr>
        <w:jc w:val="left"/>
        <w:rPr>
          <w:rFonts w:ascii="Arial" w:eastAsiaTheme="majorEastAsia" w:hAnsi="Arial" w:cs="Arial"/>
          <w:szCs w:val="24"/>
        </w:rPr>
      </w:pPr>
      <w:r w:rsidRPr="00D214A7">
        <w:rPr>
          <w:rFonts w:ascii="Arial" w:eastAsiaTheme="majorEastAsia" w:hAnsi="Arial" w:cs="Arial"/>
          <w:szCs w:val="24"/>
        </w:rPr>
        <w:t xml:space="preserve">The Insurance Commission also paid </w:t>
      </w:r>
      <w:r>
        <w:rPr>
          <w:rFonts w:ascii="Arial" w:eastAsiaTheme="majorEastAsia" w:hAnsi="Arial" w:cs="Arial"/>
          <w:szCs w:val="24"/>
        </w:rPr>
        <w:t xml:space="preserve">$84.8 million in </w:t>
      </w:r>
      <w:r w:rsidRPr="00D214A7">
        <w:rPr>
          <w:rFonts w:ascii="Arial" w:eastAsiaTheme="majorEastAsia" w:hAnsi="Arial" w:cs="Arial"/>
          <w:szCs w:val="24"/>
        </w:rPr>
        <w:t xml:space="preserve">insurance duty and </w:t>
      </w:r>
      <w:r>
        <w:rPr>
          <w:rFonts w:ascii="Arial" w:eastAsiaTheme="majorEastAsia" w:hAnsi="Arial" w:cs="Arial"/>
          <w:szCs w:val="24"/>
        </w:rPr>
        <w:t xml:space="preserve">$40.7 million in tax </w:t>
      </w:r>
      <w:r w:rsidRPr="00B044AF">
        <w:rPr>
          <w:rFonts w:ascii="Arial" w:eastAsiaTheme="majorEastAsia" w:hAnsi="Arial" w:cs="Arial"/>
          <w:szCs w:val="24"/>
        </w:rPr>
        <w:t>to</w:t>
      </w:r>
      <w:r w:rsidRPr="00D214A7">
        <w:rPr>
          <w:rFonts w:ascii="Arial" w:eastAsiaTheme="majorEastAsia" w:hAnsi="Arial" w:cs="Arial"/>
          <w:szCs w:val="24"/>
        </w:rPr>
        <w:t xml:space="preserve"> Government </w:t>
      </w:r>
      <w:r>
        <w:rPr>
          <w:rFonts w:ascii="Arial" w:eastAsiaTheme="majorEastAsia" w:hAnsi="Arial" w:cs="Arial"/>
          <w:szCs w:val="24"/>
        </w:rPr>
        <w:t>in</w:t>
      </w:r>
      <w:r w:rsidRPr="00D214A7">
        <w:rPr>
          <w:rFonts w:ascii="Arial" w:eastAsiaTheme="majorEastAsia" w:hAnsi="Arial" w:cs="Arial"/>
          <w:szCs w:val="24"/>
        </w:rPr>
        <w:t xml:space="preserve"> 2018. </w:t>
      </w:r>
    </w:p>
    <w:p w14:paraId="13353D7C" w14:textId="77777777" w:rsidR="00371A85" w:rsidRPr="00D214A7" w:rsidRDefault="00371A85" w:rsidP="00371A85">
      <w:pPr>
        <w:jc w:val="left"/>
        <w:rPr>
          <w:rFonts w:ascii="Arial" w:eastAsiaTheme="majorEastAsia" w:hAnsi="Arial" w:cs="Arial"/>
          <w:szCs w:val="24"/>
        </w:rPr>
      </w:pPr>
    </w:p>
    <w:p w14:paraId="7C846E26" w14:textId="77777777" w:rsidR="00371A85" w:rsidRDefault="00371A85" w:rsidP="00371A85">
      <w:pPr>
        <w:jc w:val="left"/>
        <w:rPr>
          <w:rFonts w:ascii="Arial" w:eastAsiaTheme="majorEastAsia" w:hAnsi="Arial" w:cs="Arial"/>
          <w:szCs w:val="24"/>
        </w:rPr>
      </w:pPr>
      <w:r w:rsidRPr="00D214A7">
        <w:rPr>
          <w:rFonts w:ascii="Arial" w:eastAsiaTheme="majorEastAsia" w:hAnsi="Arial" w:cs="Arial"/>
          <w:szCs w:val="24"/>
        </w:rPr>
        <w:lastRenderedPageBreak/>
        <w:t xml:space="preserve">I am pleased to report the Insurance Commission contributed a further </w:t>
      </w:r>
      <w:r>
        <w:rPr>
          <w:rFonts w:ascii="Arial" w:eastAsiaTheme="majorEastAsia" w:hAnsi="Arial" w:cs="Arial"/>
          <w:szCs w:val="24"/>
        </w:rPr>
        <w:t>$498.7</w:t>
      </w:r>
      <w:r w:rsidRPr="00D214A7">
        <w:rPr>
          <w:rFonts w:ascii="Arial" w:eastAsiaTheme="majorEastAsia" w:hAnsi="Arial" w:cs="Arial"/>
          <w:szCs w:val="24"/>
        </w:rPr>
        <w:t xml:space="preserve"> million towards reducing State Net Debt in 2018, measured by the consolidation of Insur</w:t>
      </w:r>
      <w:r>
        <w:rPr>
          <w:rFonts w:ascii="Arial" w:eastAsiaTheme="majorEastAsia" w:hAnsi="Arial" w:cs="Arial"/>
          <w:szCs w:val="24"/>
        </w:rPr>
        <w:t xml:space="preserve">ance Commission finances in </w:t>
      </w:r>
      <w:r w:rsidRPr="00D214A7">
        <w:rPr>
          <w:rFonts w:ascii="Arial" w:eastAsiaTheme="majorEastAsia" w:hAnsi="Arial" w:cs="Arial"/>
          <w:szCs w:val="24"/>
        </w:rPr>
        <w:t xml:space="preserve">whole of Government financial reporting. </w:t>
      </w:r>
    </w:p>
    <w:p w14:paraId="7F82992B" w14:textId="77777777" w:rsidR="00371A85" w:rsidRDefault="00371A85" w:rsidP="00371A85">
      <w:pPr>
        <w:jc w:val="left"/>
        <w:rPr>
          <w:rFonts w:ascii="Arial" w:eastAsiaTheme="majorEastAsia" w:hAnsi="Arial" w:cs="Arial"/>
          <w:szCs w:val="24"/>
        </w:rPr>
      </w:pPr>
    </w:p>
    <w:p w14:paraId="503B0014" w14:textId="77777777" w:rsidR="00371A85" w:rsidRDefault="00371A85" w:rsidP="00371A85">
      <w:pPr>
        <w:jc w:val="left"/>
        <w:rPr>
          <w:rFonts w:ascii="Arial" w:eastAsiaTheme="majorEastAsia" w:hAnsi="Arial" w:cs="Arial"/>
          <w:szCs w:val="24"/>
        </w:rPr>
      </w:pPr>
      <w:r>
        <w:rPr>
          <w:rFonts w:ascii="Arial" w:eastAsiaTheme="majorEastAsia" w:hAnsi="Arial" w:cs="Arial"/>
          <w:szCs w:val="24"/>
        </w:rPr>
        <w:t>The</w:t>
      </w:r>
      <w:r w:rsidRPr="00D214A7">
        <w:rPr>
          <w:rFonts w:ascii="Arial" w:eastAsiaTheme="majorEastAsia" w:hAnsi="Arial" w:cs="Arial"/>
          <w:szCs w:val="24"/>
        </w:rPr>
        <w:t xml:space="preserve"> positive financial results ach</w:t>
      </w:r>
      <w:r>
        <w:rPr>
          <w:rFonts w:ascii="Arial" w:eastAsiaTheme="majorEastAsia" w:hAnsi="Arial" w:cs="Arial"/>
          <w:szCs w:val="24"/>
        </w:rPr>
        <w:t>ieved in 2018 enabled</w:t>
      </w:r>
      <w:r w:rsidRPr="00D214A7">
        <w:rPr>
          <w:rFonts w:ascii="Arial" w:eastAsiaTheme="majorEastAsia" w:hAnsi="Arial" w:cs="Arial"/>
          <w:szCs w:val="24"/>
        </w:rPr>
        <w:t xml:space="preserve"> the Insurance </w:t>
      </w:r>
      <w:r>
        <w:rPr>
          <w:rFonts w:ascii="Arial" w:eastAsiaTheme="majorEastAsia" w:hAnsi="Arial" w:cs="Arial"/>
          <w:szCs w:val="24"/>
        </w:rPr>
        <w:t xml:space="preserve">Commission </w:t>
      </w:r>
      <w:r w:rsidRPr="00D214A7">
        <w:rPr>
          <w:rFonts w:ascii="Arial" w:eastAsiaTheme="majorEastAsia" w:hAnsi="Arial" w:cs="Arial"/>
          <w:szCs w:val="24"/>
        </w:rPr>
        <w:t xml:space="preserve">to return capital of </w:t>
      </w:r>
      <w:r>
        <w:rPr>
          <w:rFonts w:ascii="Arial" w:eastAsiaTheme="majorEastAsia" w:hAnsi="Arial" w:cs="Arial"/>
          <w:szCs w:val="24"/>
        </w:rPr>
        <w:t>$162.3</w:t>
      </w:r>
      <w:r w:rsidRPr="00D214A7">
        <w:rPr>
          <w:rFonts w:ascii="Arial" w:eastAsiaTheme="majorEastAsia" w:hAnsi="Arial" w:cs="Arial"/>
          <w:szCs w:val="24"/>
        </w:rPr>
        <w:t xml:space="preserve"> million from the RiskCover Fund to the Cons</w:t>
      </w:r>
      <w:r>
        <w:rPr>
          <w:rFonts w:ascii="Arial" w:eastAsiaTheme="majorEastAsia" w:hAnsi="Arial" w:cs="Arial"/>
          <w:szCs w:val="24"/>
        </w:rPr>
        <w:t>olidated Account of Government.</w:t>
      </w:r>
    </w:p>
    <w:p w14:paraId="027EEA0B" w14:textId="77777777" w:rsidR="00371A85" w:rsidRDefault="00371A85" w:rsidP="00371A85">
      <w:pPr>
        <w:jc w:val="left"/>
        <w:rPr>
          <w:rFonts w:ascii="Arial" w:eastAsiaTheme="majorEastAsia" w:hAnsi="Arial" w:cs="Arial"/>
          <w:szCs w:val="24"/>
        </w:rPr>
      </w:pPr>
    </w:p>
    <w:p w14:paraId="59E55540" w14:textId="77777777" w:rsidR="00371A85" w:rsidRPr="00D214A7" w:rsidRDefault="00371A85" w:rsidP="00371A85">
      <w:pPr>
        <w:jc w:val="left"/>
        <w:rPr>
          <w:rFonts w:ascii="Arial" w:eastAsiaTheme="majorEastAsia" w:hAnsi="Arial" w:cs="Arial"/>
          <w:szCs w:val="24"/>
        </w:rPr>
      </w:pPr>
      <w:r w:rsidRPr="003A7B72">
        <w:rPr>
          <w:rFonts w:ascii="Arial" w:eastAsiaTheme="majorEastAsia" w:hAnsi="Arial" w:cs="Arial"/>
          <w:szCs w:val="24"/>
        </w:rPr>
        <w:t>At the same time, State Government agencies have had their aggregate premium costs reduced to level last seen in 2012.</w:t>
      </w:r>
    </w:p>
    <w:p w14:paraId="4E046D5D" w14:textId="77777777" w:rsidR="00371A85" w:rsidRPr="00D214A7" w:rsidRDefault="00371A85" w:rsidP="00371A85">
      <w:pPr>
        <w:jc w:val="left"/>
        <w:rPr>
          <w:rFonts w:ascii="Arial" w:eastAsiaTheme="majorEastAsia" w:hAnsi="Arial" w:cs="Arial"/>
          <w:szCs w:val="24"/>
        </w:rPr>
      </w:pPr>
    </w:p>
    <w:p w14:paraId="1AE475F5" w14:textId="77777777" w:rsidR="00371A85" w:rsidRDefault="00371A85" w:rsidP="00371A85">
      <w:pPr>
        <w:jc w:val="left"/>
        <w:rPr>
          <w:rFonts w:ascii="Arial" w:eastAsiaTheme="majorEastAsia" w:hAnsi="Arial" w:cs="Arial"/>
          <w:szCs w:val="24"/>
        </w:rPr>
      </w:pPr>
      <w:r w:rsidRPr="00D214A7">
        <w:rPr>
          <w:rFonts w:ascii="Arial" w:eastAsiaTheme="majorEastAsia" w:hAnsi="Arial" w:cs="Arial"/>
          <w:szCs w:val="24"/>
        </w:rPr>
        <w:t xml:space="preserve">The Board and I look forward to continuing to oversee the delivery of critical insurance services to motorists and Government agencies over the next 12 months. </w:t>
      </w:r>
    </w:p>
    <w:p w14:paraId="0F9F7F70" w14:textId="77777777" w:rsidR="00BF3643" w:rsidRDefault="00BF3643" w:rsidP="00371A85">
      <w:pPr>
        <w:jc w:val="left"/>
        <w:rPr>
          <w:rFonts w:ascii="Arial" w:eastAsiaTheme="majorEastAsia" w:hAnsi="Arial" w:cs="Arial"/>
          <w:szCs w:val="24"/>
        </w:rPr>
      </w:pPr>
    </w:p>
    <w:p w14:paraId="1A9F2666" w14:textId="7E0A0EC1" w:rsidR="00BF3643" w:rsidRDefault="00BF3643" w:rsidP="00BF3643">
      <w:pPr>
        <w:tabs>
          <w:tab w:val="left" w:pos="720"/>
          <w:tab w:val="left" w:pos="1440"/>
          <w:tab w:val="left" w:pos="2160"/>
          <w:tab w:val="left" w:pos="2880"/>
          <w:tab w:val="left" w:pos="4111"/>
        </w:tabs>
        <w:rPr>
          <w:rFonts w:ascii="Arial" w:hAnsi="Arial" w:cs="Arial"/>
          <w:szCs w:val="24"/>
        </w:rPr>
      </w:pPr>
      <w:r w:rsidRPr="0018713C">
        <w:rPr>
          <w:rFonts w:ascii="Arial" w:eastAsia="Calibri" w:hAnsi="Arial" w:cs="Arial"/>
          <w:iCs/>
          <w:caps/>
          <w:noProof/>
          <w:lang w:eastAsia="en-AU"/>
        </w:rPr>
        <w:drawing>
          <wp:inline distT="0" distB="0" distL="0" distR="0" wp14:anchorId="36A12BA0" wp14:editId="60136BB2">
            <wp:extent cx="1610360" cy="554355"/>
            <wp:effectExtent l="0" t="0" r="8890" b="0"/>
            <wp:docPr id="9" name="Picture 2" descr="G:\Executive\Communications\Reports\External\Annual Report\2015\Electronic signatures\Frank Coop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xecutive\Communications\Reports\External\Annual Report\2015\Electronic signatures\Frank Cooper sig.jpg"/>
                    <pic:cNvPicPr>
                      <a:picLocks noChangeAspect="1" noChangeArrowheads="1"/>
                    </pic:cNvPicPr>
                  </pic:nvPicPr>
                  <pic:blipFill>
                    <a:blip r:embed="rId10" cstate="print">
                      <a:biLevel thresh="50000"/>
                    </a:blip>
                    <a:srcRect/>
                    <a:stretch>
                      <a:fillRect/>
                    </a:stretch>
                  </pic:blipFill>
                  <pic:spPr bwMode="auto">
                    <a:xfrm>
                      <a:off x="0" y="0"/>
                      <a:ext cx="1610360" cy="554355"/>
                    </a:xfrm>
                    <a:prstGeom prst="rect">
                      <a:avLst/>
                    </a:prstGeom>
                    <a:noFill/>
                    <a:ln w="9525">
                      <a:noFill/>
                      <a:miter lim="800000"/>
                      <a:headEnd/>
                      <a:tailEnd/>
                    </a:ln>
                  </pic:spPr>
                </pic:pic>
              </a:graphicData>
            </a:graphic>
          </wp:inline>
        </w:drawing>
      </w:r>
      <w:r>
        <w:rPr>
          <w:rFonts w:ascii="Arial" w:hAnsi="Arial" w:cs="Arial"/>
          <w:szCs w:val="24"/>
        </w:rPr>
        <w:tab/>
      </w:r>
      <w:r>
        <w:rPr>
          <w:rFonts w:ascii="Arial" w:hAnsi="Arial" w:cs="Arial"/>
          <w:szCs w:val="24"/>
        </w:rPr>
        <w:tab/>
      </w:r>
      <w:r>
        <w:rPr>
          <w:rFonts w:ascii="Arial" w:hAnsi="Arial" w:cs="Arial"/>
          <w:szCs w:val="24"/>
        </w:rPr>
        <w:tab/>
      </w:r>
    </w:p>
    <w:p w14:paraId="6690D851" w14:textId="77777777" w:rsidR="00BF3643" w:rsidRDefault="00BF3643" w:rsidP="00BF3643">
      <w:pPr>
        <w:rPr>
          <w:rFonts w:ascii="Arial" w:hAnsi="Arial" w:cs="Arial"/>
          <w:szCs w:val="24"/>
        </w:rPr>
      </w:pPr>
    </w:p>
    <w:p w14:paraId="5DC77D48" w14:textId="34E16D26" w:rsidR="00BF3643" w:rsidRPr="00BF3643" w:rsidRDefault="00BF3643" w:rsidP="00BF3643">
      <w:pPr>
        <w:rPr>
          <w:rFonts w:ascii="Arial" w:hAnsi="Arial" w:cs="Arial"/>
          <w:b/>
          <w:szCs w:val="24"/>
        </w:rPr>
      </w:pPr>
      <w:r w:rsidRPr="00BF3643">
        <w:rPr>
          <w:rFonts w:ascii="Arial" w:hAnsi="Arial" w:cs="Arial"/>
          <w:b/>
          <w:szCs w:val="24"/>
        </w:rPr>
        <w:t>Frank Cooper AO</w:t>
      </w:r>
      <w:r w:rsidRPr="00BF3643">
        <w:rPr>
          <w:rFonts w:ascii="Arial" w:hAnsi="Arial" w:cs="Arial"/>
          <w:b/>
          <w:szCs w:val="24"/>
        </w:rPr>
        <w:tab/>
      </w:r>
      <w:r w:rsidRPr="00BF3643">
        <w:rPr>
          <w:rFonts w:ascii="Arial" w:hAnsi="Arial" w:cs="Arial"/>
          <w:b/>
          <w:szCs w:val="24"/>
        </w:rPr>
        <w:tab/>
      </w:r>
      <w:r w:rsidRPr="00BF3643">
        <w:rPr>
          <w:rFonts w:ascii="Arial" w:hAnsi="Arial" w:cs="Arial"/>
          <w:b/>
          <w:szCs w:val="24"/>
        </w:rPr>
        <w:tab/>
      </w:r>
      <w:r w:rsidRPr="00BF3643">
        <w:rPr>
          <w:rFonts w:ascii="Arial" w:hAnsi="Arial" w:cs="Arial"/>
          <w:b/>
          <w:szCs w:val="24"/>
        </w:rPr>
        <w:tab/>
      </w:r>
    </w:p>
    <w:p w14:paraId="491E1589" w14:textId="03F04DB3" w:rsidR="00BF3643" w:rsidRPr="00BF3643" w:rsidRDefault="00BF3643" w:rsidP="00BF3643">
      <w:pPr>
        <w:rPr>
          <w:rFonts w:ascii="Arial" w:hAnsi="Arial" w:cs="Arial"/>
          <w:szCs w:val="24"/>
        </w:rPr>
      </w:pPr>
      <w:r w:rsidRPr="00BF3643">
        <w:rPr>
          <w:rFonts w:ascii="Arial" w:hAnsi="Arial" w:cs="Arial"/>
          <w:szCs w:val="24"/>
        </w:rPr>
        <w:t>Chairman</w:t>
      </w:r>
      <w:r w:rsidRPr="00BF3643">
        <w:rPr>
          <w:rFonts w:ascii="Arial" w:hAnsi="Arial" w:cs="Arial"/>
          <w:szCs w:val="24"/>
        </w:rPr>
        <w:tab/>
      </w:r>
      <w:r w:rsidRPr="00BF3643">
        <w:rPr>
          <w:rFonts w:ascii="Arial" w:hAnsi="Arial" w:cs="Arial"/>
          <w:szCs w:val="24"/>
        </w:rPr>
        <w:tab/>
      </w:r>
      <w:r w:rsidRPr="00BF3643">
        <w:rPr>
          <w:rFonts w:ascii="Arial" w:hAnsi="Arial" w:cs="Arial"/>
          <w:szCs w:val="24"/>
        </w:rPr>
        <w:tab/>
      </w:r>
      <w:r w:rsidRPr="00BF3643">
        <w:rPr>
          <w:rFonts w:ascii="Arial" w:hAnsi="Arial" w:cs="Arial"/>
          <w:szCs w:val="24"/>
        </w:rPr>
        <w:tab/>
      </w:r>
      <w:r w:rsidRPr="00BF3643">
        <w:rPr>
          <w:rFonts w:ascii="Arial" w:hAnsi="Arial" w:cs="Arial"/>
          <w:szCs w:val="24"/>
        </w:rPr>
        <w:tab/>
      </w:r>
    </w:p>
    <w:p w14:paraId="6678FD09" w14:textId="057BBF72" w:rsidR="00371A85" w:rsidRPr="00BF3643" w:rsidRDefault="00BF3643">
      <w:pPr>
        <w:rPr>
          <w:rFonts w:ascii="Arial" w:hAnsi="Arial" w:cs="Arial"/>
          <w:b/>
          <w:szCs w:val="24"/>
        </w:rPr>
      </w:pPr>
      <w:r w:rsidRPr="003C008D">
        <w:rPr>
          <w:rFonts w:ascii="Arial" w:hAnsi="Arial" w:cs="Arial"/>
          <w:szCs w:val="24"/>
        </w:rPr>
        <w:tab/>
      </w:r>
      <w:r w:rsidRPr="003C008D">
        <w:rPr>
          <w:rFonts w:ascii="Arial" w:hAnsi="Arial" w:cs="Arial"/>
          <w:szCs w:val="24"/>
        </w:rPr>
        <w:tab/>
      </w:r>
      <w:r w:rsidRPr="003C008D">
        <w:rPr>
          <w:rFonts w:ascii="Arial" w:hAnsi="Arial" w:cs="Arial"/>
          <w:szCs w:val="24"/>
        </w:rPr>
        <w:tab/>
      </w:r>
    </w:p>
    <w:p w14:paraId="4A904086" w14:textId="77777777" w:rsidR="00371A85" w:rsidRDefault="00371A85"/>
    <w:p w14:paraId="1B0830FE" w14:textId="77777777" w:rsidR="00371A85" w:rsidRDefault="00371A85"/>
    <w:p w14:paraId="244C51B9" w14:textId="77777777" w:rsidR="00371A85" w:rsidRDefault="00371A85"/>
    <w:p w14:paraId="1EE7EAB2" w14:textId="77777777" w:rsidR="00371A85" w:rsidRDefault="00371A85"/>
    <w:p w14:paraId="422362E4" w14:textId="77777777" w:rsidR="00371A85" w:rsidRDefault="00371A85"/>
    <w:p w14:paraId="62958F74" w14:textId="77777777" w:rsidR="00371A85" w:rsidRDefault="00371A85"/>
    <w:p w14:paraId="1EAD520C" w14:textId="77777777" w:rsidR="00371A85" w:rsidRDefault="00371A85"/>
    <w:p w14:paraId="7A316854" w14:textId="77777777" w:rsidR="00371A85" w:rsidRDefault="00371A85"/>
    <w:p w14:paraId="547C53C7" w14:textId="77777777" w:rsidR="00371A85" w:rsidRDefault="00371A85"/>
    <w:p w14:paraId="40A6DD79" w14:textId="77777777" w:rsidR="00371A85" w:rsidRDefault="00371A85"/>
    <w:p w14:paraId="5C8B3F2D" w14:textId="77777777" w:rsidR="00371A85" w:rsidRDefault="00371A85"/>
    <w:p w14:paraId="6503817B" w14:textId="77777777" w:rsidR="00371A85" w:rsidRDefault="00371A85"/>
    <w:p w14:paraId="528B273F" w14:textId="77777777" w:rsidR="00371A85" w:rsidRDefault="00371A85"/>
    <w:p w14:paraId="3F6D7461" w14:textId="77777777" w:rsidR="00371A85" w:rsidRDefault="00371A85"/>
    <w:p w14:paraId="65167491" w14:textId="77777777" w:rsidR="00371A85" w:rsidRDefault="00371A85"/>
    <w:p w14:paraId="2982DBE2" w14:textId="77777777" w:rsidR="00371A85" w:rsidRDefault="00371A85"/>
    <w:p w14:paraId="2F861E4E" w14:textId="77777777" w:rsidR="00371A85" w:rsidRDefault="00371A85"/>
    <w:p w14:paraId="776C30AF" w14:textId="77777777" w:rsidR="00BF3643" w:rsidRDefault="00BF3643"/>
    <w:p w14:paraId="0C94933A" w14:textId="77777777" w:rsidR="00BF3643" w:rsidRDefault="00BF3643"/>
    <w:p w14:paraId="3AE0D00B" w14:textId="77777777" w:rsidR="00BF3643" w:rsidRDefault="00BF3643"/>
    <w:p w14:paraId="5D9A03C5" w14:textId="77777777" w:rsidR="00BF3643" w:rsidRPr="00371A85" w:rsidRDefault="00BF3643">
      <w:pPr>
        <w:rPr>
          <w:rFonts w:ascii="Arial" w:hAnsi="Arial" w:cs="Arial"/>
          <w:szCs w:val="24"/>
        </w:rPr>
      </w:pPr>
    </w:p>
    <w:p w14:paraId="47455F51" w14:textId="77777777" w:rsidR="00371A85" w:rsidRPr="00371A85" w:rsidRDefault="00371A85">
      <w:pPr>
        <w:rPr>
          <w:rFonts w:ascii="Arial" w:hAnsi="Arial" w:cs="Arial"/>
          <w:szCs w:val="24"/>
        </w:rPr>
      </w:pPr>
    </w:p>
    <w:p w14:paraId="4B667D1E" w14:textId="77777777" w:rsidR="00371A85" w:rsidRPr="00371A85" w:rsidRDefault="00371A85">
      <w:pPr>
        <w:rPr>
          <w:rFonts w:ascii="Arial" w:hAnsi="Arial" w:cs="Arial"/>
          <w:szCs w:val="24"/>
        </w:rPr>
      </w:pPr>
    </w:p>
    <w:p w14:paraId="35DAC7CF" w14:textId="77777777" w:rsidR="00371A85" w:rsidRPr="00371A85" w:rsidRDefault="00371A85">
      <w:pPr>
        <w:rPr>
          <w:rFonts w:ascii="Arial" w:hAnsi="Arial" w:cs="Arial"/>
          <w:szCs w:val="24"/>
        </w:rPr>
      </w:pPr>
    </w:p>
    <w:p w14:paraId="253016DC" w14:textId="77777777" w:rsidR="00371A85" w:rsidRDefault="00371A85">
      <w:pPr>
        <w:rPr>
          <w:rFonts w:ascii="Arial" w:hAnsi="Arial" w:cs="Arial"/>
          <w:szCs w:val="24"/>
        </w:rPr>
      </w:pPr>
    </w:p>
    <w:p w14:paraId="60BB0CB7" w14:textId="77777777" w:rsidR="00371A85" w:rsidRPr="00371A85" w:rsidRDefault="00371A85">
      <w:pPr>
        <w:rPr>
          <w:rFonts w:ascii="Arial" w:hAnsi="Arial" w:cs="Arial"/>
          <w:szCs w:val="24"/>
        </w:rPr>
      </w:pPr>
    </w:p>
    <w:p w14:paraId="02E3A9E4" w14:textId="77777777" w:rsidR="009A7694" w:rsidRPr="00371A85" w:rsidRDefault="00371A85" w:rsidP="00371A85">
      <w:pPr>
        <w:pStyle w:val="ARHeading2"/>
      </w:pPr>
      <w:bookmarkStart w:id="3" w:name="_Toc524709379"/>
      <w:r>
        <w:lastRenderedPageBreak/>
        <w:t>1.2</w:t>
      </w:r>
      <w:r>
        <w:tab/>
      </w:r>
      <w:r w:rsidRPr="00371A85">
        <w:t>Chief Executive Report</w:t>
      </w:r>
      <w:bookmarkEnd w:id="3"/>
      <w:r w:rsidR="00655467">
        <w:br/>
      </w:r>
    </w:p>
    <w:p w14:paraId="72F94865" w14:textId="77777777" w:rsidR="00371A85" w:rsidRDefault="00371A85" w:rsidP="00371A85">
      <w:pPr>
        <w:rPr>
          <w:rFonts w:ascii="Arial" w:hAnsi="Arial" w:cs="Arial"/>
          <w:szCs w:val="24"/>
        </w:rPr>
      </w:pPr>
      <w:r w:rsidRPr="00371A85">
        <w:rPr>
          <w:rFonts w:ascii="Arial" w:hAnsi="Arial" w:cs="Arial"/>
          <w:szCs w:val="24"/>
        </w:rPr>
        <w:t>2018 has been another excellent year for the Insurance Commission. We have delivered affordable, efficient and equitable insurance services to WA motorists and Government agencies, while at the same time, generating returns for our shareholder as a result of strong investment income.</w:t>
      </w:r>
    </w:p>
    <w:p w14:paraId="605B5037" w14:textId="77777777" w:rsidR="00371A85" w:rsidRPr="00371A85" w:rsidRDefault="00371A85" w:rsidP="00371A85">
      <w:pPr>
        <w:rPr>
          <w:rFonts w:ascii="Arial" w:hAnsi="Arial" w:cs="Arial"/>
          <w:szCs w:val="24"/>
        </w:rPr>
      </w:pPr>
    </w:p>
    <w:p w14:paraId="2A2132C3" w14:textId="77777777" w:rsidR="00371A85" w:rsidRPr="00371A85" w:rsidRDefault="00371A85" w:rsidP="00371A85">
      <w:pPr>
        <w:rPr>
          <w:rFonts w:ascii="Arial" w:hAnsi="Arial" w:cs="Arial"/>
          <w:szCs w:val="24"/>
        </w:rPr>
      </w:pPr>
      <w:r w:rsidRPr="00371A85">
        <w:rPr>
          <w:rFonts w:ascii="Arial" w:hAnsi="Arial" w:cs="Arial"/>
          <w:szCs w:val="24"/>
        </w:rPr>
        <w:t xml:space="preserve">The Insurance Commission, including the RiskCover Fund, received over 32,000 new insurance claims during the year, and managed claims valued at $3.6 billion (claims paid and future claims liabilities). </w:t>
      </w:r>
    </w:p>
    <w:p w14:paraId="56A52214" w14:textId="77777777" w:rsidR="00371A85" w:rsidRPr="00371A85" w:rsidRDefault="00371A85" w:rsidP="00371A85">
      <w:pPr>
        <w:rPr>
          <w:rFonts w:ascii="Arial" w:hAnsi="Arial" w:cs="Arial"/>
          <w:szCs w:val="24"/>
        </w:rPr>
      </w:pPr>
    </w:p>
    <w:p w14:paraId="18193ECC" w14:textId="77777777" w:rsidR="00371A85" w:rsidRPr="00371A85" w:rsidRDefault="00371A85" w:rsidP="00371A85">
      <w:pPr>
        <w:rPr>
          <w:rFonts w:ascii="Arial" w:hAnsi="Arial" w:cs="Arial"/>
          <w:szCs w:val="24"/>
        </w:rPr>
      </w:pPr>
      <w:r w:rsidRPr="00371A85">
        <w:rPr>
          <w:rFonts w:ascii="Arial" w:hAnsi="Arial" w:cs="Arial"/>
          <w:szCs w:val="24"/>
        </w:rPr>
        <w:t xml:space="preserve">The Insurance Commission, including RiskCover, generated more than $1.5 billion in revenue and earnings in 2018. </w:t>
      </w:r>
    </w:p>
    <w:p w14:paraId="1B8AD04F" w14:textId="77777777" w:rsidR="00371A85" w:rsidRPr="00371A85" w:rsidRDefault="00371A85" w:rsidP="00371A85">
      <w:pPr>
        <w:rPr>
          <w:rFonts w:ascii="Arial" w:hAnsi="Arial" w:cs="Arial"/>
          <w:szCs w:val="24"/>
        </w:rPr>
      </w:pPr>
    </w:p>
    <w:p w14:paraId="37662304" w14:textId="77777777" w:rsidR="00371A85" w:rsidRPr="00371A85" w:rsidRDefault="00371A85" w:rsidP="00371A85">
      <w:pPr>
        <w:rPr>
          <w:rFonts w:ascii="Arial" w:hAnsi="Arial" w:cs="Arial"/>
          <w:szCs w:val="24"/>
        </w:rPr>
      </w:pPr>
      <w:r w:rsidRPr="00371A85">
        <w:rPr>
          <w:rFonts w:ascii="Arial" w:hAnsi="Arial" w:cs="Arial"/>
          <w:szCs w:val="24"/>
        </w:rPr>
        <w:t>Our profit before tax result, excluding RiskCover, was $382.7 million, which is a $119.7 million improvement on the $263 million profit before tax result delivered in 2017.</w:t>
      </w:r>
    </w:p>
    <w:p w14:paraId="645A32C2" w14:textId="77777777" w:rsidR="00371A85" w:rsidRPr="00371A85" w:rsidRDefault="00371A85" w:rsidP="00371A85">
      <w:pPr>
        <w:rPr>
          <w:rFonts w:ascii="Arial" w:hAnsi="Arial" w:cs="Arial"/>
          <w:szCs w:val="24"/>
        </w:rPr>
      </w:pPr>
    </w:p>
    <w:p w14:paraId="735A224D" w14:textId="77777777" w:rsidR="00371A85" w:rsidRPr="00371A85" w:rsidRDefault="00371A85" w:rsidP="00371A85">
      <w:pPr>
        <w:rPr>
          <w:rFonts w:ascii="Arial" w:hAnsi="Arial" w:cs="Arial"/>
          <w:szCs w:val="24"/>
        </w:rPr>
      </w:pPr>
      <w:r w:rsidRPr="00371A85">
        <w:rPr>
          <w:rFonts w:ascii="Arial" w:hAnsi="Arial" w:cs="Arial"/>
          <w:szCs w:val="24"/>
        </w:rPr>
        <w:t>The profit after tax result for 2018 was $277.7 million for the Insurance Commission.</w:t>
      </w:r>
    </w:p>
    <w:p w14:paraId="63E2DE67" w14:textId="77777777" w:rsidR="00371A85" w:rsidRPr="00371A85" w:rsidRDefault="00371A85" w:rsidP="00371A85">
      <w:pPr>
        <w:rPr>
          <w:rFonts w:ascii="Arial" w:hAnsi="Arial" w:cs="Arial"/>
          <w:szCs w:val="24"/>
        </w:rPr>
      </w:pPr>
    </w:p>
    <w:p w14:paraId="117B0E21" w14:textId="77777777" w:rsidR="00371A85" w:rsidRPr="00371A85" w:rsidRDefault="00371A85" w:rsidP="00371A85">
      <w:pPr>
        <w:rPr>
          <w:rFonts w:ascii="Arial" w:hAnsi="Arial" w:cs="Arial"/>
          <w:szCs w:val="24"/>
        </w:rPr>
      </w:pPr>
      <w:r w:rsidRPr="00371A85">
        <w:rPr>
          <w:rFonts w:ascii="Arial" w:hAnsi="Arial" w:cs="Arial"/>
          <w:szCs w:val="24"/>
        </w:rPr>
        <w:t xml:space="preserve">The Insurance Commission’s main investment portfolio delivered a gross return of 9.4% for 2018. This return comprises investments in the Third Party Insurance Fund, RiskCover Fund, Insurance Commission General Fund, Government Insurance Fund and Compensation (Industrial Diseases) Fund. The total investment return for the Insurance Commission was 9.1% for the year, which is lower than the Main Fund as a high proportion of cash held in the Motor Vehicle (Catastrophic Injuries) Fund has not yet been deployed in other asset classes. </w:t>
      </w:r>
    </w:p>
    <w:p w14:paraId="38D9D35E" w14:textId="77777777" w:rsidR="00371A85" w:rsidRPr="00371A85" w:rsidRDefault="00371A85" w:rsidP="00371A85">
      <w:pPr>
        <w:rPr>
          <w:rFonts w:ascii="Arial" w:hAnsi="Arial" w:cs="Arial"/>
          <w:szCs w:val="24"/>
        </w:rPr>
      </w:pPr>
    </w:p>
    <w:p w14:paraId="178E8CA6" w14:textId="77777777" w:rsidR="00371A85" w:rsidRPr="00371A85" w:rsidRDefault="00371A85" w:rsidP="00371A85">
      <w:pPr>
        <w:rPr>
          <w:rFonts w:ascii="Arial" w:hAnsi="Arial" w:cs="Arial"/>
          <w:szCs w:val="24"/>
        </w:rPr>
      </w:pPr>
      <w:r w:rsidRPr="00371A85">
        <w:rPr>
          <w:rFonts w:ascii="Arial" w:hAnsi="Arial" w:cs="Arial"/>
          <w:szCs w:val="24"/>
        </w:rPr>
        <w:t xml:space="preserve">This investment return is an encouraging result as the Insurance Commission has allocated 40% to Equities, which is materially lower than the allocation to Equities utilised by most superannuation funds.  </w:t>
      </w:r>
    </w:p>
    <w:p w14:paraId="52B68B6E" w14:textId="77777777" w:rsidR="00371A85" w:rsidRPr="00371A85" w:rsidRDefault="00371A85" w:rsidP="00371A85">
      <w:pPr>
        <w:rPr>
          <w:rFonts w:ascii="Arial" w:hAnsi="Arial" w:cs="Arial"/>
          <w:szCs w:val="24"/>
        </w:rPr>
      </w:pPr>
    </w:p>
    <w:p w14:paraId="400FCD9B" w14:textId="77777777" w:rsidR="00371A85" w:rsidRPr="00371A85" w:rsidRDefault="00371A85" w:rsidP="00371A85">
      <w:pPr>
        <w:rPr>
          <w:rFonts w:ascii="Arial" w:hAnsi="Arial" w:cs="Arial"/>
          <w:szCs w:val="24"/>
        </w:rPr>
      </w:pPr>
      <w:r w:rsidRPr="00371A85">
        <w:rPr>
          <w:rFonts w:ascii="Arial" w:hAnsi="Arial" w:cs="Arial"/>
          <w:szCs w:val="24"/>
        </w:rPr>
        <w:t>We have made further inroads in 2018 to improve the quality of our communication and engagement with our customers and stakeholders. This Annual Report demonstrates that progress as it includes a deeper look into our operations and data in a form that we believe can be more readily understood by all. I am pleased to present these 2018 financial and operational results to you.</w:t>
      </w:r>
    </w:p>
    <w:p w14:paraId="394F9A8F" w14:textId="77777777" w:rsidR="00371A85" w:rsidRPr="00371A85" w:rsidRDefault="00371A85" w:rsidP="00371A85">
      <w:pPr>
        <w:rPr>
          <w:rFonts w:ascii="Arial" w:hAnsi="Arial" w:cs="Arial"/>
          <w:szCs w:val="24"/>
        </w:rPr>
      </w:pPr>
    </w:p>
    <w:p w14:paraId="3DE94554" w14:textId="77777777" w:rsidR="00371A85" w:rsidRPr="00371A85" w:rsidRDefault="00371A85" w:rsidP="00371A85">
      <w:pPr>
        <w:pStyle w:val="ARHeading3"/>
      </w:pPr>
      <w:r>
        <w:t xml:space="preserve">Motor Injury Insurance </w:t>
      </w:r>
    </w:p>
    <w:p w14:paraId="39157824" w14:textId="77777777" w:rsidR="00371A85" w:rsidRPr="00371A85" w:rsidRDefault="00371A85" w:rsidP="00371A85">
      <w:pPr>
        <w:rPr>
          <w:rFonts w:ascii="Arial" w:hAnsi="Arial" w:cs="Arial"/>
          <w:szCs w:val="24"/>
        </w:rPr>
      </w:pPr>
      <w:r w:rsidRPr="00371A85">
        <w:rPr>
          <w:rFonts w:ascii="Arial" w:hAnsi="Arial" w:cs="Arial"/>
          <w:szCs w:val="24"/>
        </w:rPr>
        <w:t xml:space="preserve">In 2018, the Insurance Commission received $769.5 million in revenue in motor injury insurance premium payments for over 2.9 million insured vehicles. </w:t>
      </w:r>
    </w:p>
    <w:p w14:paraId="07AEC1A4" w14:textId="77777777" w:rsidR="00371A85" w:rsidRPr="00371A85" w:rsidRDefault="00371A85" w:rsidP="00371A85">
      <w:pPr>
        <w:rPr>
          <w:rFonts w:ascii="Arial" w:hAnsi="Arial" w:cs="Arial"/>
          <w:szCs w:val="24"/>
        </w:rPr>
      </w:pPr>
    </w:p>
    <w:p w14:paraId="56476BC5" w14:textId="77777777" w:rsidR="00371A85" w:rsidRPr="00371A85" w:rsidRDefault="00371A85" w:rsidP="00371A85">
      <w:pPr>
        <w:rPr>
          <w:rFonts w:ascii="Arial" w:hAnsi="Arial" w:cs="Arial"/>
          <w:szCs w:val="24"/>
        </w:rPr>
      </w:pPr>
      <w:r w:rsidRPr="00371A85">
        <w:rPr>
          <w:rFonts w:ascii="Arial" w:hAnsi="Arial" w:cs="Arial"/>
          <w:szCs w:val="24"/>
        </w:rPr>
        <w:t>Premium revenue in 2018 was $82.9 million higher than revenue collected in 2017 as 2018 was the first full year that all motorists paid insurance premiums for Catastrophic Injuries Support (CIS) cover. Last year, some motorists did not have to pay for the full additional cover they received in the first year of the new cover. The Insurance Commission absorbed that cost in 2017 by making a capital transfer to the CIS scheme Fund. That fund transfer was made possible as the sale of the Forrest Centre in 2016 released a significant asset revaluation reserve held against that building.</w:t>
      </w:r>
    </w:p>
    <w:p w14:paraId="0CFE5171" w14:textId="77777777" w:rsidR="00371A85" w:rsidRPr="00371A85" w:rsidRDefault="00371A85" w:rsidP="00371A85">
      <w:pPr>
        <w:rPr>
          <w:rFonts w:ascii="Arial" w:hAnsi="Arial" w:cs="Arial"/>
          <w:szCs w:val="24"/>
        </w:rPr>
      </w:pPr>
    </w:p>
    <w:p w14:paraId="13870C9B" w14:textId="77777777" w:rsidR="00371A85" w:rsidRPr="00371A85" w:rsidRDefault="00371A85" w:rsidP="00371A85">
      <w:pPr>
        <w:rPr>
          <w:rFonts w:ascii="Arial" w:hAnsi="Arial" w:cs="Arial"/>
          <w:szCs w:val="24"/>
        </w:rPr>
      </w:pPr>
      <w:r w:rsidRPr="00371A85">
        <w:rPr>
          <w:rFonts w:ascii="Arial" w:hAnsi="Arial" w:cs="Arial"/>
          <w:szCs w:val="24"/>
        </w:rPr>
        <w:lastRenderedPageBreak/>
        <w:t>Premium revenue is collected to pay the cost of claims made by WA motorists. We made $391 million in claims payments to people injured in crashes (mostly in prior years), and have booked anticipated future claims expenses of $2.4 billion. Motor injury insurance claims liabilities increased by $244.6 million in 2018, reflecting additional future claims payments.</w:t>
      </w:r>
    </w:p>
    <w:p w14:paraId="3EFB64C2" w14:textId="77777777" w:rsidR="00371A85" w:rsidRPr="00371A85" w:rsidRDefault="00371A85" w:rsidP="00371A85">
      <w:pPr>
        <w:rPr>
          <w:rFonts w:ascii="Arial" w:hAnsi="Arial" w:cs="Arial"/>
          <w:szCs w:val="24"/>
        </w:rPr>
      </w:pPr>
    </w:p>
    <w:p w14:paraId="4D554722" w14:textId="77777777" w:rsidR="00371A85" w:rsidRPr="00371A85" w:rsidRDefault="00371A85" w:rsidP="00371A85">
      <w:pPr>
        <w:rPr>
          <w:rFonts w:ascii="Arial" w:hAnsi="Arial" w:cs="Arial"/>
          <w:szCs w:val="24"/>
        </w:rPr>
      </w:pPr>
      <w:r w:rsidRPr="00371A85">
        <w:rPr>
          <w:rFonts w:ascii="Arial" w:hAnsi="Arial" w:cs="Arial"/>
          <w:szCs w:val="24"/>
        </w:rPr>
        <w:t>Motor injury insurance claims involve a range of costs paid to help a person recover and return back to work following an injury sustained in a car crash. It is therefore no surprise that the largest proportion of the Insurance Commission’s costs are for health and disability services provided to our clients by service providers. During 2018, we paid for almost 100,000 physiotherapy and doctor visits for people injured in crashes.</w:t>
      </w:r>
    </w:p>
    <w:p w14:paraId="5B96C954" w14:textId="77777777" w:rsidR="00371A85" w:rsidRPr="00371A85" w:rsidRDefault="00371A85" w:rsidP="00371A85">
      <w:pPr>
        <w:rPr>
          <w:rFonts w:ascii="Arial" w:hAnsi="Arial" w:cs="Arial"/>
          <w:szCs w:val="24"/>
        </w:rPr>
      </w:pPr>
    </w:p>
    <w:p w14:paraId="42B67D86" w14:textId="77777777" w:rsidR="00371A85" w:rsidRPr="00371A85" w:rsidRDefault="00371A85" w:rsidP="00371A85">
      <w:pPr>
        <w:rPr>
          <w:rFonts w:ascii="Arial" w:hAnsi="Arial" w:cs="Arial"/>
          <w:szCs w:val="24"/>
        </w:rPr>
      </w:pPr>
      <w:r w:rsidRPr="00371A85">
        <w:rPr>
          <w:rFonts w:ascii="Arial" w:hAnsi="Arial" w:cs="Arial"/>
          <w:szCs w:val="24"/>
        </w:rPr>
        <w:t>Given the volume of those payments, the Insurance Commission is working more closely with the health and disability sector so service providers better understand the claims process and how to best engage with the organisation. For example in 2018, the Insurance Commission attended the WA Physiotherapist Forum to speak directly with physiotherapists that treat Insurance Commission clients. We also held two workshops for service providers to our CIS scheme, hosted by National Disability Services WA.</w:t>
      </w:r>
    </w:p>
    <w:p w14:paraId="6DFA47A2" w14:textId="77777777" w:rsidR="00371A85" w:rsidRPr="00371A85" w:rsidRDefault="00371A85" w:rsidP="00371A85">
      <w:pPr>
        <w:rPr>
          <w:rFonts w:ascii="Arial" w:hAnsi="Arial" w:cs="Arial"/>
          <w:szCs w:val="24"/>
        </w:rPr>
      </w:pPr>
    </w:p>
    <w:p w14:paraId="359AF668" w14:textId="77777777" w:rsidR="00371A85" w:rsidRPr="00371A85" w:rsidRDefault="00371A85" w:rsidP="00371A85">
      <w:pPr>
        <w:rPr>
          <w:rFonts w:ascii="Arial" w:hAnsi="Arial" w:cs="Arial"/>
          <w:szCs w:val="24"/>
        </w:rPr>
      </w:pPr>
      <w:r w:rsidRPr="00371A85">
        <w:rPr>
          <w:rFonts w:ascii="Arial" w:hAnsi="Arial" w:cs="Arial"/>
          <w:szCs w:val="24"/>
        </w:rPr>
        <w:t>Another customer service initiative delivered by the Motor Injury Insurance Division during 2018 was the establishment of a long-duration claims settlement team. At the start of 2018, there were almost 400 Compulsory Third Party (CTP) compensation claims that remained open where the claim was lodged in, or prior to 2014. Claims can remain open for long periods if the claimant is a child or if an injury is complex and it will take time before the extent of the injury and the required compensation is fully known. The new team finalised 40 of those claims in their first two months, and their ongoing efforts should help reduce the average amount of time for all claims to be finalised. That will mean people with crash-related injuries should see shorter average timeframes for insurance claims to be settled.</w:t>
      </w:r>
    </w:p>
    <w:p w14:paraId="14EBC4A2" w14:textId="77777777" w:rsidR="00371A85" w:rsidRPr="00371A85" w:rsidRDefault="00371A85" w:rsidP="00371A85">
      <w:pPr>
        <w:rPr>
          <w:rFonts w:ascii="Arial" w:hAnsi="Arial" w:cs="Arial"/>
          <w:szCs w:val="24"/>
        </w:rPr>
      </w:pPr>
    </w:p>
    <w:p w14:paraId="33E32DF4" w14:textId="77777777" w:rsidR="00371A85" w:rsidRPr="00371A85" w:rsidRDefault="00371A85" w:rsidP="00371A85">
      <w:pPr>
        <w:rPr>
          <w:rFonts w:ascii="Arial" w:hAnsi="Arial" w:cs="Arial"/>
          <w:szCs w:val="24"/>
        </w:rPr>
      </w:pPr>
      <w:r w:rsidRPr="00371A85">
        <w:rPr>
          <w:rFonts w:ascii="Arial" w:hAnsi="Arial" w:cs="Arial"/>
          <w:szCs w:val="24"/>
        </w:rPr>
        <w:t xml:space="preserve">We received 11,818 motor injury insurance claims in 2018, of which 3,191 were CTP compensation claims, 8,588 were minor injury claims and 39 were CIS catastrophic injury claims. </w:t>
      </w:r>
    </w:p>
    <w:p w14:paraId="2D66BED6" w14:textId="77777777" w:rsidR="00371A85" w:rsidRPr="00371A85" w:rsidRDefault="00371A85" w:rsidP="00371A85">
      <w:pPr>
        <w:rPr>
          <w:rFonts w:ascii="Arial" w:hAnsi="Arial" w:cs="Arial"/>
          <w:szCs w:val="24"/>
        </w:rPr>
      </w:pPr>
    </w:p>
    <w:p w14:paraId="59B3DF5F" w14:textId="77777777" w:rsidR="00371A85" w:rsidRPr="00371A85" w:rsidRDefault="00371A85" w:rsidP="00371A85">
      <w:pPr>
        <w:rPr>
          <w:rFonts w:ascii="Arial" w:hAnsi="Arial" w:cs="Arial"/>
          <w:szCs w:val="24"/>
        </w:rPr>
      </w:pPr>
      <w:r w:rsidRPr="00371A85">
        <w:rPr>
          <w:rFonts w:ascii="Arial" w:hAnsi="Arial" w:cs="Arial"/>
          <w:szCs w:val="24"/>
        </w:rPr>
        <w:t xml:space="preserve">I am pleased to report the total number of new CTP compensation claims received in 2018 was 179 less than the 3,370 claims received in 2017. This is an important result as 2017 represented the first year that the number of CTP compensation claims had grown in almost 10 years, and it was not clear if this was the start of a new trend. Fewer claims received means fewer people have been injured on our roads which is the best outcome for all parties. Fewer claims also means less pressure on insurance premium increases. </w:t>
      </w:r>
    </w:p>
    <w:p w14:paraId="648D323A" w14:textId="77777777" w:rsidR="00371A85" w:rsidRPr="00371A85" w:rsidRDefault="00371A85" w:rsidP="00371A85">
      <w:pPr>
        <w:rPr>
          <w:rFonts w:ascii="Arial" w:hAnsi="Arial" w:cs="Arial"/>
          <w:szCs w:val="24"/>
        </w:rPr>
      </w:pPr>
    </w:p>
    <w:p w14:paraId="17CCB86F" w14:textId="77777777" w:rsidR="00371A85" w:rsidRPr="00371A85" w:rsidRDefault="00371A85" w:rsidP="00371A85">
      <w:pPr>
        <w:rPr>
          <w:rFonts w:ascii="Arial" w:hAnsi="Arial" w:cs="Arial"/>
          <w:szCs w:val="24"/>
        </w:rPr>
      </w:pPr>
      <w:r w:rsidRPr="00371A85">
        <w:rPr>
          <w:rFonts w:ascii="Arial" w:hAnsi="Arial" w:cs="Arial"/>
          <w:szCs w:val="24"/>
        </w:rPr>
        <w:t>We are unfortunately still seeing an over-representation of vulnerable road users being injured in vehicle crashes. Vulnerable road users are motorcyclists, pillion passengers, cyclists and pedestrians. This cohort of road users represented 40% of our total claims payments in 2018 despite only representing 17.8% of total claims received. This trend can put pressure on insurance premiums so it’s important for all road users to respect each other on the road.</w:t>
      </w:r>
    </w:p>
    <w:p w14:paraId="23CC3A3D" w14:textId="77777777" w:rsidR="00371A85" w:rsidRPr="00371A85" w:rsidRDefault="00371A85" w:rsidP="00371A85">
      <w:pPr>
        <w:rPr>
          <w:rFonts w:ascii="Arial" w:hAnsi="Arial" w:cs="Arial"/>
          <w:szCs w:val="24"/>
        </w:rPr>
      </w:pPr>
    </w:p>
    <w:p w14:paraId="6CE30DAD" w14:textId="77777777" w:rsidR="00371A85" w:rsidRPr="00371A85" w:rsidRDefault="00371A85" w:rsidP="00371A85">
      <w:pPr>
        <w:rPr>
          <w:rFonts w:ascii="Arial" w:hAnsi="Arial" w:cs="Arial"/>
          <w:szCs w:val="24"/>
        </w:rPr>
      </w:pPr>
      <w:r w:rsidRPr="00371A85">
        <w:rPr>
          <w:rFonts w:ascii="Arial" w:hAnsi="Arial" w:cs="Arial"/>
          <w:szCs w:val="24"/>
        </w:rPr>
        <w:lastRenderedPageBreak/>
        <w:t>Claims payment amounts for large claims were lower than expected during the year, which contributed to a $71 million reduction in claims payments (2018: $391 million) from the $462 million paid out in 2017.</w:t>
      </w:r>
    </w:p>
    <w:p w14:paraId="5D9085AE" w14:textId="77777777" w:rsidR="00371A85" w:rsidRPr="00371A85" w:rsidRDefault="00371A85" w:rsidP="00371A85">
      <w:pPr>
        <w:rPr>
          <w:rFonts w:ascii="Arial" w:hAnsi="Arial" w:cs="Arial"/>
          <w:szCs w:val="24"/>
        </w:rPr>
      </w:pPr>
    </w:p>
    <w:p w14:paraId="0C654A57" w14:textId="77777777" w:rsidR="00371A85" w:rsidRPr="00371A85" w:rsidRDefault="00371A85" w:rsidP="00371A85">
      <w:pPr>
        <w:rPr>
          <w:rFonts w:ascii="Arial" w:hAnsi="Arial" w:cs="Arial"/>
          <w:szCs w:val="24"/>
        </w:rPr>
      </w:pPr>
      <w:r w:rsidRPr="00371A85">
        <w:rPr>
          <w:rFonts w:ascii="Arial" w:hAnsi="Arial" w:cs="Arial"/>
          <w:szCs w:val="24"/>
        </w:rPr>
        <w:t>As we received fewer claims, made lower claims payments and had an increase in revenue, we delivered an underwriting profit for both our motor injury insurance funds.</w:t>
      </w:r>
    </w:p>
    <w:p w14:paraId="24E1B530" w14:textId="77777777" w:rsidR="00371A85" w:rsidRPr="00371A85" w:rsidRDefault="00371A85" w:rsidP="00371A85">
      <w:pPr>
        <w:rPr>
          <w:rFonts w:ascii="Arial" w:hAnsi="Arial" w:cs="Arial"/>
          <w:szCs w:val="24"/>
        </w:rPr>
      </w:pPr>
    </w:p>
    <w:p w14:paraId="01F0B427" w14:textId="77777777" w:rsidR="00371A85" w:rsidRPr="00371A85" w:rsidRDefault="00371A85" w:rsidP="00371A85">
      <w:pPr>
        <w:rPr>
          <w:rFonts w:ascii="Arial" w:hAnsi="Arial" w:cs="Arial"/>
          <w:szCs w:val="24"/>
        </w:rPr>
      </w:pPr>
      <w:r w:rsidRPr="00371A85">
        <w:rPr>
          <w:rFonts w:ascii="Arial" w:hAnsi="Arial" w:cs="Arial"/>
          <w:szCs w:val="24"/>
        </w:rPr>
        <w:t>The Third Party Insurance Fund (TPIF) for the CTP scheme recorded a small underwriting profit of $26 million. This is equivalent to 4.4% of premium revenue or 1.1% of outstanding claims liabilities.</w:t>
      </w:r>
    </w:p>
    <w:p w14:paraId="0A3BFB1D" w14:textId="77777777" w:rsidR="00371A85" w:rsidRPr="00371A85" w:rsidRDefault="00371A85" w:rsidP="00371A85">
      <w:pPr>
        <w:rPr>
          <w:rFonts w:ascii="Arial" w:hAnsi="Arial" w:cs="Arial"/>
          <w:szCs w:val="24"/>
        </w:rPr>
      </w:pPr>
    </w:p>
    <w:p w14:paraId="3A1D2AD4" w14:textId="77777777" w:rsidR="00371A85" w:rsidRPr="00371A85" w:rsidRDefault="00371A85" w:rsidP="00371A85">
      <w:pPr>
        <w:rPr>
          <w:rFonts w:ascii="Arial" w:hAnsi="Arial" w:cs="Arial"/>
          <w:szCs w:val="24"/>
        </w:rPr>
      </w:pPr>
      <w:r w:rsidRPr="00371A85">
        <w:rPr>
          <w:rFonts w:ascii="Arial" w:hAnsi="Arial" w:cs="Arial"/>
          <w:szCs w:val="24"/>
        </w:rPr>
        <w:t>The Motor Vehicle (Catastrophic Injuries) Fund (MVCIF) for the CIS scheme recorded an underwriting profit of $37.6 million in 2018.</w:t>
      </w:r>
    </w:p>
    <w:p w14:paraId="0C00E6B1" w14:textId="77777777" w:rsidR="00371A85" w:rsidRPr="00371A85" w:rsidRDefault="00371A85" w:rsidP="00371A85">
      <w:pPr>
        <w:rPr>
          <w:rFonts w:ascii="Arial" w:hAnsi="Arial" w:cs="Arial"/>
          <w:szCs w:val="24"/>
        </w:rPr>
      </w:pPr>
    </w:p>
    <w:p w14:paraId="199EDD22" w14:textId="77777777" w:rsidR="00371A85" w:rsidRPr="00371A85" w:rsidRDefault="00371A85" w:rsidP="00371A85">
      <w:pPr>
        <w:rPr>
          <w:rFonts w:ascii="Arial" w:hAnsi="Arial" w:cs="Arial"/>
          <w:szCs w:val="24"/>
        </w:rPr>
      </w:pPr>
      <w:r w:rsidRPr="00371A85">
        <w:rPr>
          <w:rFonts w:ascii="Arial" w:hAnsi="Arial" w:cs="Arial"/>
          <w:szCs w:val="24"/>
        </w:rPr>
        <w:t xml:space="preserve">This is an excellent result as it means our core business is financially sustainable and we have sufficient revenue to continue to pay claims and deliver insurance services. It also means that we are not reliant on investment returns to make claims payments or run the business. The price of insurance is not determined by a good investment return in the prior year. Investment returns will vary year to year and cannot be relied upon as the source of revenue to pay current and future claims.  </w:t>
      </w:r>
    </w:p>
    <w:p w14:paraId="7E962A1A" w14:textId="77777777" w:rsidR="00371A85" w:rsidRPr="00371A85" w:rsidRDefault="00371A85" w:rsidP="00371A85">
      <w:pPr>
        <w:rPr>
          <w:rFonts w:ascii="Arial" w:hAnsi="Arial" w:cs="Arial"/>
          <w:szCs w:val="24"/>
        </w:rPr>
      </w:pPr>
    </w:p>
    <w:p w14:paraId="61DA35F5" w14:textId="77777777" w:rsidR="00371A85" w:rsidRPr="00371A85" w:rsidRDefault="00371A85" w:rsidP="00371A85">
      <w:pPr>
        <w:rPr>
          <w:rFonts w:ascii="Arial" w:hAnsi="Arial" w:cs="Arial"/>
          <w:szCs w:val="24"/>
        </w:rPr>
      </w:pPr>
      <w:r w:rsidRPr="00371A85">
        <w:rPr>
          <w:rFonts w:ascii="Arial" w:hAnsi="Arial" w:cs="Arial"/>
          <w:szCs w:val="24"/>
        </w:rPr>
        <w:t>Motorists paid $99 in additional motor injury insurance premium for broader cover to include no-fault lifetime care cover for catastrophic injuries from a crash after 1 July 2016. The cost of catastrophic insurance at 1 July 2018 was $104, which reflects wage inflation. The overall cost of motor injury insurance at 1 July 2018 was $431 for a family vehicle.</w:t>
      </w:r>
    </w:p>
    <w:p w14:paraId="0B54E46E" w14:textId="77777777" w:rsidR="00371A85" w:rsidRPr="00371A85" w:rsidRDefault="00371A85" w:rsidP="00371A85">
      <w:pPr>
        <w:rPr>
          <w:rFonts w:ascii="Arial" w:hAnsi="Arial" w:cs="Arial"/>
          <w:szCs w:val="24"/>
        </w:rPr>
      </w:pPr>
      <w:r w:rsidRPr="00371A85">
        <w:rPr>
          <w:rFonts w:ascii="Arial" w:hAnsi="Arial" w:cs="Arial"/>
          <w:szCs w:val="24"/>
        </w:rPr>
        <w:t xml:space="preserve">Our Annual Report also presents details and data from our CIS scheme which is now two years old. It is an excellent outcome that 49 people with catastrophic injuries in our CIS scheme have been able to return home following treatment after their crash. It is also very pleasing that 28 people have either returned back to work, are in return to work programs or are studying. </w:t>
      </w:r>
    </w:p>
    <w:p w14:paraId="52CBFD11" w14:textId="77777777" w:rsidR="00371A85" w:rsidRPr="00371A85" w:rsidRDefault="00371A85" w:rsidP="00371A85">
      <w:pPr>
        <w:rPr>
          <w:rFonts w:ascii="Arial" w:hAnsi="Arial" w:cs="Arial"/>
          <w:szCs w:val="24"/>
        </w:rPr>
      </w:pPr>
    </w:p>
    <w:p w14:paraId="76B85C59" w14:textId="77777777" w:rsidR="00371A85" w:rsidRPr="00371A85" w:rsidRDefault="00371A85" w:rsidP="00371A85">
      <w:pPr>
        <w:pStyle w:val="ARHeading3"/>
      </w:pPr>
      <w:r>
        <w:t>RiskCover</w:t>
      </w:r>
    </w:p>
    <w:p w14:paraId="19BBC71C" w14:textId="77777777" w:rsidR="00371A85" w:rsidRPr="00371A85" w:rsidRDefault="00371A85" w:rsidP="00371A85">
      <w:pPr>
        <w:rPr>
          <w:rFonts w:ascii="Arial" w:hAnsi="Arial" w:cs="Arial"/>
          <w:szCs w:val="24"/>
        </w:rPr>
      </w:pPr>
      <w:r w:rsidRPr="00371A85">
        <w:rPr>
          <w:rFonts w:ascii="Arial" w:hAnsi="Arial" w:cs="Arial"/>
          <w:szCs w:val="24"/>
        </w:rPr>
        <w:t>Agencies insured by the RiskCover Fund paid their lowest aggregate insurance premium in 2018 when compared to the last five years. Gross written premium received from agencies was $299.8 million in 2018, whereas gross written premium revenue has ranged between $308.1 million and $332.1 million since 2013. This is a great outcome for agencies as it means their insurance premiums are at the most affordable levels in five years. We have also been able to deliver that outcome for agencies while increasing the financial return delivered to our shareholder, the State Government, paid from investment income.</w:t>
      </w:r>
    </w:p>
    <w:p w14:paraId="53D22B8D" w14:textId="77777777" w:rsidR="00371A85" w:rsidRPr="00371A85" w:rsidRDefault="00371A85" w:rsidP="00371A85">
      <w:pPr>
        <w:rPr>
          <w:rFonts w:ascii="Arial" w:hAnsi="Arial" w:cs="Arial"/>
          <w:szCs w:val="24"/>
        </w:rPr>
      </w:pPr>
    </w:p>
    <w:p w14:paraId="40DDAAC5" w14:textId="77777777" w:rsidR="00371A85" w:rsidRPr="00371A85" w:rsidRDefault="00371A85" w:rsidP="00371A85">
      <w:pPr>
        <w:rPr>
          <w:rFonts w:ascii="Arial" w:hAnsi="Arial" w:cs="Arial"/>
          <w:szCs w:val="24"/>
        </w:rPr>
      </w:pPr>
      <w:r w:rsidRPr="00371A85">
        <w:rPr>
          <w:rFonts w:ascii="Arial" w:hAnsi="Arial" w:cs="Arial"/>
          <w:szCs w:val="24"/>
        </w:rPr>
        <w:t>The RiskCover Fund, which the Insurance Commission manages on behalf of the Government, recorded a profit of $159.2 million, which was in line with its profit of $154.3 million in 2017.</w:t>
      </w:r>
    </w:p>
    <w:p w14:paraId="12ED2CA6" w14:textId="77777777" w:rsidR="00371A85" w:rsidRPr="00371A85" w:rsidRDefault="00371A85" w:rsidP="00371A85">
      <w:pPr>
        <w:rPr>
          <w:rFonts w:ascii="Arial" w:hAnsi="Arial" w:cs="Arial"/>
          <w:szCs w:val="24"/>
        </w:rPr>
      </w:pPr>
    </w:p>
    <w:p w14:paraId="2FD6910E" w14:textId="77777777" w:rsidR="00371A85" w:rsidRPr="00371A85" w:rsidRDefault="00371A85" w:rsidP="00371A85">
      <w:pPr>
        <w:rPr>
          <w:rFonts w:ascii="Arial" w:hAnsi="Arial" w:cs="Arial"/>
          <w:szCs w:val="24"/>
        </w:rPr>
      </w:pPr>
      <w:r w:rsidRPr="00371A85">
        <w:rPr>
          <w:rFonts w:ascii="Arial" w:hAnsi="Arial" w:cs="Arial"/>
          <w:szCs w:val="24"/>
        </w:rPr>
        <w:t xml:space="preserve">A positive underwriting result of $63.5 million was achieved in 2018. </w:t>
      </w:r>
    </w:p>
    <w:p w14:paraId="55879B21" w14:textId="77777777" w:rsidR="00371A85" w:rsidRPr="00371A85" w:rsidRDefault="00371A85" w:rsidP="00371A85">
      <w:pPr>
        <w:rPr>
          <w:rFonts w:ascii="Arial" w:hAnsi="Arial" w:cs="Arial"/>
          <w:szCs w:val="24"/>
        </w:rPr>
      </w:pPr>
    </w:p>
    <w:p w14:paraId="4E57210C" w14:textId="77777777" w:rsidR="00371A85" w:rsidRPr="00371A85" w:rsidRDefault="00371A85" w:rsidP="00371A85">
      <w:pPr>
        <w:rPr>
          <w:rFonts w:ascii="Arial" w:hAnsi="Arial" w:cs="Arial"/>
          <w:szCs w:val="24"/>
        </w:rPr>
      </w:pPr>
      <w:r w:rsidRPr="00371A85">
        <w:rPr>
          <w:rFonts w:ascii="Arial" w:hAnsi="Arial" w:cs="Arial"/>
          <w:szCs w:val="24"/>
        </w:rPr>
        <w:t xml:space="preserve">The positive underwriting performance for the year was due to net claims incurred being $65.9 million less than budget, led by better than expected claims experience in </w:t>
      </w:r>
      <w:r w:rsidRPr="00371A85">
        <w:rPr>
          <w:rFonts w:ascii="Arial" w:hAnsi="Arial" w:cs="Arial"/>
          <w:szCs w:val="24"/>
        </w:rPr>
        <w:lastRenderedPageBreak/>
        <w:t>the workers’ compensation ($33.6 million) and liability ($31.4 million) insurance classes.</w:t>
      </w:r>
    </w:p>
    <w:p w14:paraId="7F9B9DF3" w14:textId="77777777" w:rsidR="00371A85" w:rsidRPr="00371A85" w:rsidRDefault="00371A85" w:rsidP="00371A85">
      <w:pPr>
        <w:rPr>
          <w:rFonts w:ascii="Arial" w:hAnsi="Arial" w:cs="Arial"/>
          <w:szCs w:val="24"/>
        </w:rPr>
      </w:pPr>
    </w:p>
    <w:p w14:paraId="10077641" w14:textId="77777777" w:rsidR="00371A85" w:rsidRDefault="00371A85" w:rsidP="00371A85">
      <w:pPr>
        <w:rPr>
          <w:rFonts w:ascii="Arial" w:hAnsi="Arial" w:cs="Arial"/>
          <w:szCs w:val="24"/>
        </w:rPr>
      </w:pPr>
      <w:r w:rsidRPr="00371A85">
        <w:rPr>
          <w:rFonts w:ascii="Arial" w:hAnsi="Arial" w:cs="Arial"/>
          <w:szCs w:val="24"/>
        </w:rPr>
        <w:t xml:space="preserve">This year was the fourth consecutive year that RiskCover has delivered a positive underwriting result. This demonstrates the business is being managed sustainably as it is not reliant on investment returns to fund service delivery and claims costs. It was only four years ago in 2014, that RiskCover reported its fifth consecutive underwriting loss (a cumulative total underwriting loss of $237.1 million from 2010 to 2014). </w:t>
      </w:r>
    </w:p>
    <w:p w14:paraId="09506293" w14:textId="77777777" w:rsidR="00371A85" w:rsidRPr="00371A85" w:rsidRDefault="00371A85" w:rsidP="00371A85">
      <w:pPr>
        <w:rPr>
          <w:rFonts w:ascii="Arial" w:hAnsi="Arial" w:cs="Arial"/>
          <w:szCs w:val="24"/>
        </w:rPr>
      </w:pPr>
    </w:p>
    <w:p w14:paraId="6BE25566" w14:textId="77777777" w:rsidR="00371A85" w:rsidRDefault="00371A85" w:rsidP="00371A85">
      <w:pPr>
        <w:rPr>
          <w:rFonts w:ascii="Arial" w:hAnsi="Arial" w:cs="Arial"/>
          <w:szCs w:val="24"/>
        </w:rPr>
      </w:pPr>
      <w:r w:rsidRPr="00371A85">
        <w:rPr>
          <w:rFonts w:ascii="Arial" w:hAnsi="Arial" w:cs="Arial"/>
          <w:szCs w:val="24"/>
        </w:rPr>
        <w:t>RiskCover received 20,473 new insurance claims during the year. There were 4,704 new workers’ compensation claims received in 2018, a reduction of 127 new claims received from the prior year. The reduction in the number of new workers’ compensation claims can be attributed to government agencies’ commitment to occupational health and safety and reduced growth of the public sector workforce.</w:t>
      </w:r>
    </w:p>
    <w:p w14:paraId="64F32C81" w14:textId="77777777" w:rsidR="00371A85" w:rsidRPr="00371A85" w:rsidRDefault="00371A85" w:rsidP="00371A85">
      <w:pPr>
        <w:rPr>
          <w:rFonts w:ascii="Arial" w:hAnsi="Arial" w:cs="Arial"/>
          <w:szCs w:val="24"/>
        </w:rPr>
      </w:pPr>
    </w:p>
    <w:p w14:paraId="5FFF33D8" w14:textId="77777777" w:rsidR="00371A85" w:rsidRPr="00371A85" w:rsidRDefault="00371A85" w:rsidP="00371A85">
      <w:pPr>
        <w:rPr>
          <w:rFonts w:ascii="Arial" w:hAnsi="Arial" w:cs="Arial"/>
          <w:szCs w:val="24"/>
        </w:rPr>
      </w:pPr>
      <w:r w:rsidRPr="00371A85">
        <w:rPr>
          <w:rFonts w:ascii="Arial" w:hAnsi="Arial" w:cs="Arial"/>
          <w:szCs w:val="24"/>
        </w:rPr>
        <w:t>The RiskCover Fund also received stronger than anticipated investment income of $95.7 million ($31.5 million greater than budget) for the year. The Insurance Commission invests RiskCover funds under the same arrangements used for the investment of most other funds managed by the Insurance Commission.</w:t>
      </w:r>
    </w:p>
    <w:p w14:paraId="5C74BD49" w14:textId="77777777" w:rsidR="00371A85" w:rsidRPr="00371A85" w:rsidRDefault="00371A85" w:rsidP="00371A85">
      <w:pPr>
        <w:rPr>
          <w:rFonts w:ascii="Arial" w:hAnsi="Arial" w:cs="Arial"/>
          <w:szCs w:val="24"/>
        </w:rPr>
      </w:pPr>
    </w:p>
    <w:p w14:paraId="058E6EDE" w14:textId="77777777" w:rsidR="00371A85" w:rsidRPr="00371A85" w:rsidRDefault="00371A85" w:rsidP="00371A85">
      <w:pPr>
        <w:rPr>
          <w:rFonts w:ascii="Arial" w:hAnsi="Arial" w:cs="Arial"/>
          <w:szCs w:val="24"/>
        </w:rPr>
      </w:pPr>
      <w:r w:rsidRPr="00371A85">
        <w:rPr>
          <w:rFonts w:ascii="Arial" w:hAnsi="Arial" w:cs="Arial"/>
          <w:szCs w:val="24"/>
        </w:rPr>
        <w:t>As a result of our positive 2018 financial results, we are able to return capital of $162.3 million from the RiskCover Fund to the Consolidated Account of Government. This will be paid in September 2018. This return of capital is provided for in the RiskCover Fund's financial statements.</w:t>
      </w:r>
    </w:p>
    <w:p w14:paraId="443FE9DA" w14:textId="77777777" w:rsidR="00371A85" w:rsidRPr="00371A85" w:rsidRDefault="00371A85" w:rsidP="00371A85">
      <w:pPr>
        <w:rPr>
          <w:rFonts w:ascii="Arial" w:hAnsi="Arial" w:cs="Arial"/>
          <w:szCs w:val="24"/>
        </w:rPr>
      </w:pPr>
    </w:p>
    <w:p w14:paraId="62FB3AAB" w14:textId="77777777" w:rsidR="00371A85" w:rsidRPr="00371A85" w:rsidRDefault="00371A85" w:rsidP="00371A85">
      <w:pPr>
        <w:rPr>
          <w:rFonts w:ascii="Arial" w:hAnsi="Arial" w:cs="Arial"/>
          <w:szCs w:val="24"/>
        </w:rPr>
      </w:pPr>
      <w:r w:rsidRPr="00371A85">
        <w:rPr>
          <w:rFonts w:ascii="Arial" w:hAnsi="Arial" w:cs="Arial"/>
          <w:szCs w:val="24"/>
        </w:rPr>
        <w:t xml:space="preserve">Staff in the RiskCover Division also assisted the Government deliver its first round of Machinery of Government changes, which consolidated the number of affected agencies from 41 to 25. Our staff worked with agencies impacted by the changes to ensure they had the required insurance cover, reports and insurance premiums in place. This made sure continuity of cover was delivered for those agencies.  </w:t>
      </w:r>
    </w:p>
    <w:p w14:paraId="5B06903B" w14:textId="77777777" w:rsidR="00371A85" w:rsidRPr="00371A85" w:rsidRDefault="00371A85" w:rsidP="00371A85">
      <w:pPr>
        <w:rPr>
          <w:rFonts w:ascii="Arial" w:hAnsi="Arial" w:cs="Arial"/>
          <w:szCs w:val="24"/>
        </w:rPr>
      </w:pPr>
    </w:p>
    <w:p w14:paraId="25D806AB" w14:textId="77777777" w:rsidR="00371A85" w:rsidRPr="00371A85" w:rsidRDefault="00371A85" w:rsidP="00371A85">
      <w:pPr>
        <w:pStyle w:val="ARHeading3"/>
      </w:pPr>
      <w:r>
        <w:t>Investments</w:t>
      </w:r>
    </w:p>
    <w:p w14:paraId="6B84A2CA" w14:textId="77777777" w:rsidR="00371A85" w:rsidRPr="00371A85" w:rsidRDefault="00371A85" w:rsidP="00371A85">
      <w:pPr>
        <w:rPr>
          <w:rFonts w:ascii="Arial" w:hAnsi="Arial" w:cs="Arial"/>
          <w:szCs w:val="24"/>
        </w:rPr>
      </w:pPr>
      <w:r w:rsidRPr="00371A85">
        <w:rPr>
          <w:rFonts w:ascii="Arial" w:hAnsi="Arial" w:cs="Arial"/>
          <w:szCs w:val="24"/>
        </w:rPr>
        <w:t xml:space="preserve">The total value of the investment funds held by the Insurance Commission to offset insurance liabilities grew from $4.9 billion at 1 July 2017 to $5.3 billion at 30 June 2018. The total value of Insurance Commission assets at 30 June was over $5.6 billion. </w:t>
      </w:r>
    </w:p>
    <w:p w14:paraId="5A6602F6" w14:textId="77777777" w:rsidR="00371A85" w:rsidRPr="00371A85" w:rsidRDefault="00371A85" w:rsidP="00371A85">
      <w:pPr>
        <w:rPr>
          <w:rFonts w:ascii="Arial" w:hAnsi="Arial" w:cs="Arial"/>
          <w:szCs w:val="24"/>
        </w:rPr>
      </w:pPr>
    </w:p>
    <w:p w14:paraId="168C80A5" w14:textId="77777777" w:rsidR="00371A85" w:rsidRPr="00371A85" w:rsidRDefault="00371A85" w:rsidP="00371A85">
      <w:pPr>
        <w:rPr>
          <w:rFonts w:ascii="Arial" w:hAnsi="Arial" w:cs="Arial"/>
          <w:szCs w:val="24"/>
        </w:rPr>
      </w:pPr>
      <w:r w:rsidRPr="00371A85">
        <w:rPr>
          <w:rFonts w:ascii="Arial" w:hAnsi="Arial" w:cs="Arial"/>
          <w:szCs w:val="24"/>
        </w:rPr>
        <w:t>The growth in investment assets off the back of several years of strong investment returns has enabled the Insurance Commission to deliver significant dividends to the State Government. The dividends are only determined after the Insurance Commission has allocated investment returns to meet increases in insurance liabilities.</w:t>
      </w:r>
    </w:p>
    <w:p w14:paraId="272FF549" w14:textId="77777777" w:rsidR="00371A85" w:rsidRPr="00371A85" w:rsidRDefault="00371A85" w:rsidP="00371A85">
      <w:pPr>
        <w:rPr>
          <w:rFonts w:ascii="Arial" w:hAnsi="Arial" w:cs="Arial"/>
          <w:szCs w:val="24"/>
        </w:rPr>
      </w:pPr>
    </w:p>
    <w:p w14:paraId="75E1C5F6" w14:textId="77777777" w:rsidR="00371A85" w:rsidRPr="00371A85" w:rsidRDefault="00371A85" w:rsidP="00371A85">
      <w:pPr>
        <w:rPr>
          <w:rFonts w:ascii="Arial" w:hAnsi="Arial" w:cs="Arial"/>
          <w:szCs w:val="24"/>
        </w:rPr>
      </w:pPr>
      <w:r w:rsidRPr="00371A85">
        <w:rPr>
          <w:rFonts w:ascii="Arial" w:hAnsi="Arial" w:cs="Arial"/>
          <w:szCs w:val="24"/>
        </w:rPr>
        <w:t>Our investment return for 2018 was a very positive 9.1% or $446.7 million (9.4% for the majority of investment assets in our Main Fund). We have been able to deliver an average 8.4% annual investment return over the past seven years and driven long-term growth in the Insurance Commission’s investment assets.</w:t>
      </w:r>
    </w:p>
    <w:p w14:paraId="71746367" w14:textId="77777777" w:rsidR="00371A85" w:rsidRPr="00371A85" w:rsidRDefault="00371A85" w:rsidP="00371A85">
      <w:pPr>
        <w:rPr>
          <w:rFonts w:ascii="Arial" w:hAnsi="Arial" w:cs="Arial"/>
          <w:szCs w:val="24"/>
        </w:rPr>
      </w:pPr>
    </w:p>
    <w:p w14:paraId="19165C22" w14:textId="77777777" w:rsidR="00371A85" w:rsidRPr="00371A85" w:rsidRDefault="00371A85" w:rsidP="00371A85">
      <w:pPr>
        <w:rPr>
          <w:rFonts w:ascii="Arial" w:hAnsi="Arial" w:cs="Arial"/>
          <w:szCs w:val="24"/>
        </w:rPr>
      </w:pPr>
      <w:r w:rsidRPr="00371A85">
        <w:rPr>
          <w:rFonts w:ascii="Arial" w:hAnsi="Arial" w:cs="Arial"/>
          <w:szCs w:val="24"/>
        </w:rPr>
        <w:t xml:space="preserve">We completed the sale of the Westralia Square asset ($216.3 million sale price) during the year and reinvested the sale proceeds in Global Listed Real Estate Investment </w:t>
      </w:r>
      <w:r w:rsidRPr="00371A85">
        <w:rPr>
          <w:rFonts w:ascii="Arial" w:hAnsi="Arial" w:cs="Arial"/>
          <w:szCs w:val="24"/>
        </w:rPr>
        <w:lastRenderedPageBreak/>
        <w:t xml:space="preserve">Trusts and Australian Unlisted Retail Property. The divestment of all directly held property assets by the Insurance Commission has further diversified our investment portfolio by reducing the Property strategic asset allocation from 25% in 2015 to 15% in 2018. We also increased our infrastructure investments by new positions taken in Global Listed Infrastructure securities and Global Unlisted Infrastructure funds, and now have a 16% strategic asset allocation to Alternative Assets. </w:t>
      </w:r>
    </w:p>
    <w:p w14:paraId="09D9459E" w14:textId="77777777" w:rsidR="00371A85" w:rsidRPr="00371A85" w:rsidRDefault="00371A85" w:rsidP="00371A85">
      <w:pPr>
        <w:rPr>
          <w:rFonts w:ascii="Arial" w:hAnsi="Arial" w:cs="Arial"/>
          <w:szCs w:val="24"/>
        </w:rPr>
      </w:pPr>
    </w:p>
    <w:p w14:paraId="6F5079E4" w14:textId="77777777" w:rsidR="00371A85" w:rsidRPr="00371A85" w:rsidRDefault="00371A85" w:rsidP="00371A85">
      <w:pPr>
        <w:rPr>
          <w:rFonts w:ascii="Arial" w:hAnsi="Arial" w:cs="Arial"/>
          <w:szCs w:val="24"/>
        </w:rPr>
      </w:pPr>
      <w:r w:rsidRPr="00371A85">
        <w:rPr>
          <w:rFonts w:ascii="Arial" w:hAnsi="Arial" w:cs="Arial"/>
          <w:szCs w:val="24"/>
        </w:rPr>
        <w:t>We also continued our active investment management approach by regularly reviewing external manager performance and replacing managers where required. This has contributed to out-performance against both short and long term investment objectives.</w:t>
      </w:r>
    </w:p>
    <w:p w14:paraId="7D610235" w14:textId="77777777" w:rsidR="00371A85" w:rsidRPr="00371A85" w:rsidRDefault="00371A85" w:rsidP="00371A85">
      <w:pPr>
        <w:rPr>
          <w:rFonts w:ascii="Arial" w:hAnsi="Arial" w:cs="Arial"/>
          <w:szCs w:val="24"/>
        </w:rPr>
      </w:pPr>
    </w:p>
    <w:p w14:paraId="0D9E9821" w14:textId="77777777" w:rsidR="00371A85" w:rsidRPr="00371A85" w:rsidRDefault="00371A85" w:rsidP="00371A85">
      <w:pPr>
        <w:pStyle w:val="ARHeading3"/>
        <w:rPr>
          <w:sz w:val="24"/>
        </w:rPr>
      </w:pPr>
      <w:r w:rsidRPr="00371A85">
        <w:t>Culture</w:t>
      </w:r>
      <w:r w:rsidRPr="00371A85">
        <w:rPr>
          <w:sz w:val="24"/>
        </w:rPr>
        <w:t xml:space="preserve"> </w:t>
      </w:r>
    </w:p>
    <w:p w14:paraId="183EDA9F" w14:textId="77777777" w:rsidR="00371A85" w:rsidRPr="00371A85" w:rsidRDefault="00371A85" w:rsidP="00371A85">
      <w:pPr>
        <w:rPr>
          <w:rFonts w:ascii="Arial" w:hAnsi="Arial" w:cs="Arial"/>
          <w:szCs w:val="24"/>
        </w:rPr>
      </w:pPr>
      <w:r w:rsidRPr="00371A85">
        <w:rPr>
          <w:rFonts w:ascii="Arial" w:hAnsi="Arial" w:cs="Arial"/>
          <w:szCs w:val="24"/>
        </w:rPr>
        <w:t xml:space="preserve">For the first time our Annual Report highlights the experience of some claimants with our services. Having a car crash or an injury at work is a stressful and painful time for people. Dealing with our organisation should not be. That is why our Annual Report attempts to better highlight the services we deliver and the impact we have on people’s lives. Our latest Strategic Plan is available on our website and lists a suite of planned initiatives to improve people’s interactions with us; I look forward to reporting our progress on those next year. </w:t>
      </w:r>
    </w:p>
    <w:p w14:paraId="3E55B4D1" w14:textId="77777777" w:rsidR="00371A85" w:rsidRPr="00371A85" w:rsidRDefault="00371A85" w:rsidP="00371A85">
      <w:pPr>
        <w:rPr>
          <w:rFonts w:ascii="Arial" w:hAnsi="Arial" w:cs="Arial"/>
          <w:szCs w:val="24"/>
        </w:rPr>
      </w:pPr>
    </w:p>
    <w:p w14:paraId="79069276" w14:textId="77777777" w:rsidR="00371A85" w:rsidRPr="00371A85" w:rsidRDefault="00371A85" w:rsidP="00371A85">
      <w:pPr>
        <w:rPr>
          <w:rFonts w:ascii="Arial" w:hAnsi="Arial" w:cs="Arial"/>
          <w:szCs w:val="24"/>
        </w:rPr>
      </w:pPr>
      <w:r w:rsidRPr="00371A85">
        <w:rPr>
          <w:rFonts w:ascii="Arial" w:hAnsi="Arial" w:cs="Arial"/>
          <w:szCs w:val="24"/>
        </w:rPr>
        <w:t xml:space="preserve">It is pleasing to see that ‘better customer service’ is a recommendation of the Government’s Service Priority Review, as that is the outcome we are seeking to achieve. To help deliver that, we refreshed our corporate culture during the year by placing greater focus on our external environment, which includes improving customer and stakeholder engagement. </w:t>
      </w:r>
    </w:p>
    <w:p w14:paraId="0C2D9F39" w14:textId="77777777" w:rsidR="00371A85" w:rsidRPr="00371A85" w:rsidRDefault="00371A85" w:rsidP="00371A85">
      <w:pPr>
        <w:rPr>
          <w:rFonts w:ascii="Arial" w:hAnsi="Arial" w:cs="Arial"/>
          <w:szCs w:val="24"/>
        </w:rPr>
      </w:pPr>
    </w:p>
    <w:p w14:paraId="4D4205FA" w14:textId="77777777" w:rsidR="00371A85" w:rsidRDefault="00371A85" w:rsidP="00371A85">
      <w:pPr>
        <w:rPr>
          <w:rFonts w:ascii="Arial" w:hAnsi="Arial" w:cs="Arial"/>
          <w:szCs w:val="24"/>
        </w:rPr>
      </w:pPr>
      <w:r w:rsidRPr="00371A85">
        <w:rPr>
          <w:rFonts w:ascii="Arial" w:hAnsi="Arial" w:cs="Arial"/>
          <w:szCs w:val="24"/>
        </w:rPr>
        <w:t>The Insurance Commission also contributed to Government objectives in 2018 by actively participating in the Voluntary Targeted Separation Scheme (VTSS) to assist with the renewal of the public sector. As a Government Trading Enterprise, the Insurance Commission had not participated in past sector wide voluntary separation schemes.</w:t>
      </w:r>
    </w:p>
    <w:p w14:paraId="78EC3177" w14:textId="77777777" w:rsidR="00371A85" w:rsidRPr="00371A85" w:rsidRDefault="00371A85" w:rsidP="00371A85">
      <w:pPr>
        <w:rPr>
          <w:rFonts w:ascii="Arial" w:hAnsi="Arial" w:cs="Arial"/>
          <w:szCs w:val="24"/>
        </w:rPr>
      </w:pPr>
    </w:p>
    <w:p w14:paraId="1832A6C8" w14:textId="77777777" w:rsidR="00371A85" w:rsidRDefault="00371A85" w:rsidP="00371A85">
      <w:pPr>
        <w:rPr>
          <w:rFonts w:ascii="Arial" w:hAnsi="Arial" w:cs="Arial"/>
          <w:szCs w:val="24"/>
        </w:rPr>
      </w:pPr>
      <w:r w:rsidRPr="00371A85">
        <w:rPr>
          <w:rFonts w:ascii="Arial" w:hAnsi="Arial" w:cs="Arial"/>
          <w:szCs w:val="24"/>
        </w:rPr>
        <w:t xml:space="preserve">Fifty-three of our employees (13% of the workforce) subsequently accepted the offer of voluntary severance. As a proportion of the total staff of the entity, this represented one of the highest workforce reductions of any Government entity.  </w:t>
      </w:r>
    </w:p>
    <w:p w14:paraId="6A350691" w14:textId="77777777" w:rsidR="00371A85" w:rsidRPr="00371A85" w:rsidRDefault="00371A85" w:rsidP="00371A85">
      <w:pPr>
        <w:rPr>
          <w:rFonts w:ascii="Arial" w:hAnsi="Arial" w:cs="Arial"/>
          <w:szCs w:val="24"/>
        </w:rPr>
      </w:pPr>
    </w:p>
    <w:p w14:paraId="0F49E68F" w14:textId="77777777" w:rsidR="00371A85" w:rsidRDefault="00371A85" w:rsidP="00371A85">
      <w:pPr>
        <w:rPr>
          <w:rFonts w:ascii="Arial" w:hAnsi="Arial" w:cs="Arial"/>
          <w:szCs w:val="24"/>
        </w:rPr>
      </w:pPr>
      <w:r w:rsidRPr="00371A85">
        <w:rPr>
          <w:rFonts w:ascii="Arial" w:hAnsi="Arial" w:cs="Arial"/>
          <w:szCs w:val="24"/>
        </w:rPr>
        <w:t xml:space="preserve">This has reduced total salary costs and staff leave liabilities for the organisation. The Insurance Commission has subsequently funded some workforce renewal strategies and other initiatives to improve service delivery following these changes. </w:t>
      </w:r>
    </w:p>
    <w:p w14:paraId="211EB56C" w14:textId="77777777" w:rsidR="00371A85" w:rsidRPr="00371A85" w:rsidRDefault="00371A85" w:rsidP="00371A85">
      <w:pPr>
        <w:rPr>
          <w:rFonts w:ascii="Arial" w:hAnsi="Arial" w:cs="Arial"/>
          <w:szCs w:val="24"/>
        </w:rPr>
      </w:pPr>
    </w:p>
    <w:p w14:paraId="3222AFED" w14:textId="77777777" w:rsidR="00371A85" w:rsidRDefault="00371A85" w:rsidP="00371A85">
      <w:pPr>
        <w:rPr>
          <w:rFonts w:ascii="Arial" w:hAnsi="Arial" w:cs="Arial"/>
          <w:szCs w:val="24"/>
        </w:rPr>
      </w:pPr>
      <w:r w:rsidRPr="00371A85">
        <w:rPr>
          <w:rFonts w:ascii="Arial" w:hAnsi="Arial" w:cs="Arial"/>
          <w:szCs w:val="24"/>
        </w:rPr>
        <w:t xml:space="preserve">I am pleased to report that out operating costs of $54.6 million in 2018 are the lowest they have been in nine years (excluding Bell expenses and once-off costs for the VTSS, property divestment process and CIS scheme implementation). This an excellent outcome and a measure of the efficiency with which we manage the business. </w:t>
      </w:r>
    </w:p>
    <w:p w14:paraId="77C3D9B5" w14:textId="77777777" w:rsidR="00371A85" w:rsidRPr="00371A85" w:rsidRDefault="00371A85" w:rsidP="00371A85">
      <w:pPr>
        <w:rPr>
          <w:rFonts w:ascii="Arial" w:hAnsi="Arial" w:cs="Arial"/>
          <w:szCs w:val="24"/>
        </w:rPr>
      </w:pPr>
    </w:p>
    <w:p w14:paraId="2F83E0F4" w14:textId="77777777" w:rsidR="00371A85" w:rsidRPr="00371A85" w:rsidRDefault="00371A85" w:rsidP="00371A85">
      <w:pPr>
        <w:rPr>
          <w:rFonts w:ascii="Arial" w:hAnsi="Arial" w:cs="Arial"/>
          <w:szCs w:val="24"/>
        </w:rPr>
      </w:pPr>
      <w:r w:rsidRPr="00371A85">
        <w:rPr>
          <w:rFonts w:ascii="Arial" w:hAnsi="Arial" w:cs="Arial"/>
          <w:szCs w:val="24"/>
        </w:rPr>
        <w:t xml:space="preserve">The Insurance Commission also undertook a review of our senior management level structure and as a consequence implemented organisational and personnel changes. This has resulted in a leaner and flatter senior executive service (SES) structure. </w:t>
      </w:r>
      <w:r w:rsidRPr="00371A85">
        <w:rPr>
          <w:rFonts w:ascii="Arial" w:hAnsi="Arial" w:cs="Arial"/>
          <w:szCs w:val="24"/>
        </w:rPr>
        <w:lastRenderedPageBreak/>
        <w:t>These changes met the Government’s objective to reduce the cost and size of our SES equivalent cohort by 20%.</w:t>
      </w:r>
    </w:p>
    <w:p w14:paraId="7159AF34" w14:textId="77777777" w:rsidR="00371A85" w:rsidRPr="00371A85" w:rsidRDefault="00371A85" w:rsidP="00371A85">
      <w:pPr>
        <w:rPr>
          <w:rFonts w:ascii="Arial" w:hAnsi="Arial" w:cs="Arial"/>
          <w:szCs w:val="24"/>
        </w:rPr>
      </w:pPr>
      <w:r w:rsidRPr="00371A85">
        <w:rPr>
          <w:rFonts w:ascii="Arial" w:hAnsi="Arial" w:cs="Arial"/>
          <w:szCs w:val="24"/>
        </w:rPr>
        <w:t>Our staff have approached these cultural transformation and workforce changes in a highly engaged manner which has helped the Insurance Commission enhance the outcomes it delivers. The work we have done in the last couple of years has also been timely given the recent focus on the culture within some financial institutions.</w:t>
      </w:r>
    </w:p>
    <w:p w14:paraId="18A3516F" w14:textId="77777777" w:rsidR="00371A85" w:rsidRPr="00371A85" w:rsidRDefault="00371A85" w:rsidP="00371A85">
      <w:pPr>
        <w:rPr>
          <w:rFonts w:ascii="Arial" w:hAnsi="Arial" w:cs="Arial"/>
          <w:szCs w:val="24"/>
        </w:rPr>
      </w:pPr>
    </w:p>
    <w:p w14:paraId="4C77C665" w14:textId="77777777" w:rsidR="00371A85" w:rsidRPr="00371A85" w:rsidRDefault="00371A85" w:rsidP="00371A85">
      <w:pPr>
        <w:rPr>
          <w:rFonts w:ascii="Arial" w:hAnsi="Arial" w:cs="Arial"/>
          <w:szCs w:val="24"/>
        </w:rPr>
      </w:pPr>
      <w:r w:rsidRPr="00371A85">
        <w:rPr>
          <w:rFonts w:ascii="Arial" w:hAnsi="Arial" w:cs="Arial"/>
          <w:szCs w:val="24"/>
        </w:rPr>
        <w:t xml:space="preserve">I want to thank our staff for continuing to do their jobs well to serve the people of Western Australia and our shareholder, the Government of Western Australia. Even after we saw the departure of some of our colleagues following the VTSS, our staff continued to constructively deliver results for the Insurance Commission. I would also like to thank the Executive team and the Board for their contribution towards the Insurance Commission’s successful performance in 2018. </w:t>
      </w:r>
    </w:p>
    <w:p w14:paraId="2A02FDF0" w14:textId="77777777" w:rsidR="00371A85" w:rsidRPr="00371A85" w:rsidRDefault="00371A85" w:rsidP="00371A85">
      <w:pPr>
        <w:rPr>
          <w:rFonts w:ascii="Arial" w:hAnsi="Arial" w:cs="Arial"/>
          <w:szCs w:val="24"/>
        </w:rPr>
      </w:pPr>
    </w:p>
    <w:p w14:paraId="4FD4B395" w14:textId="77777777" w:rsidR="00371A85" w:rsidRDefault="00371A85" w:rsidP="00371A85">
      <w:pPr>
        <w:rPr>
          <w:rFonts w:ascii="Arial" w:hAnsi="Arial" w:cs="Arial"/>
          <w:szCs w:val="24"/>
        </w:rPr>
      </w:pPr>
      <w:r w:rsidRPr="00371A85">
        <w:rPr>
          <w:rFonts w:ascii="Arial" w:hAnsi="Arial" w:cs="Arial"/>
          <w:szCs w:val="24"/>
        </w:rPr>
        <w:t>Sincerely</w:t>
      </w:r>
    </w:p>
    <w:p w14:paraId="2DFA3B57" w14:textId="77777777" w:rsidR="00371A85" w:rsidRDefault="00371A85" w:rsidP="00371A85">
      <w:pPr>
        <w:rPr>
          <w:rFonts w:ascii="Arial" w:hAnsi="Arial" w:cs="Arial"/>
          <w:szCs w:val="24"/>
        </w:rPr>
      </w:pPr>
    </w:p>
    <w:p w14:paraId="35DD6180" w14:textId="3C012CA0" w:rsidR="00BF3643" w:rsidRDefault="00BF3643" w:rsidP="00BF3643">
      <w:pPr>
        <w:tabs>
          <w:tab w:val="left" w:pos="720"/>
          <w:tab w:val="left" w:pos="1440"/>
          <w:tab w:val="left" w:pos="2160"/>
          <w:tab w:val="left" w:pos="2880"/>
          <w:tab w:val="left" w:pos="4111"/>
        </w:tabs>
        <w:rPr>
          <w:rFonts w:ascii="Arial" w:hAnsi="Arial" w:cs="Arial"/>
          <w:szCs w:val="24"/>
        </w:rPr>
      </w:pPr>
      <w:r w:rsidRPr="0018713C">
        <w:rPr>
          <w:rFonts w:ascii="Arial" w:eastAsia="Calibri" w:hAnsi="Arial" w:cs="Arial"/>
          <w:iCs/>
          <w:caps/>
          <w:noProof/>
          <w:lang w:eastAsia="en-AU"/>
        </w:rPr>
        <w:drawing>
          <wp:inline distT="0" distB="0" distL="0" distR="0" wp14:anchorId="6244C48F" wp14:editId="033587A2">
            <wp:extent cx="1610360" cy="709930"/>
            <wp:effectExtent l="0" t="0" r="8890" b="0"/>
            <wp:docPr id="14" name="Picture 1" descr="G:\Executive\Communications\Reports\External\Annual Report\2015\Electronic signatures\Rod Whith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xecutive\Communications\Reports\External\Annual Report\2015\Electronic signatures\Rod Whithear 1.jpg"/>
                    <pic:cNvPicPr>
                      <a:picLocks noChangeAspect="1" noChangeArrowheads="1"/>
                    </pic:cNvPicPr>
                  </pic:nvPicPr>
                  <pic:blipFill>
                    <a:blip r:embed="rId11" cstate="print"/>
                    <a:srcRect/>
                    <a:stretch>
                      <a:fillRect/>
                    </a:stretch>
                  </pic:blipFill>
                  <pic:spPr bwMode="auto">
                    <a:xfrm>
                      <a:off x="0" y="0"/>
                      <a:ext cx="1610360" cy="709930"/>
                    </a:xfrm>
                    <a:prstGeom prst="rect">
                      <a:avLst/>
                    </a:prstGeom>
                    <a:noFill/>
                    <a:ln w="9525">
                      <a:noFill/>
                      <a:miter lim="800000"/>
                      <a:headEnd/>
                      <a:tailEnd/>
                    </a:ln>
                  </pic:spPr>
                </pic:pic>
              </a:graphicData>
            </a:graphic>
          </wp:inline>
        </w:drawing>
      </w:r>
      <w:r>
        <w:rPr>
          <w:rFonts w:ascii="Arial" w:hAnsi="Arial" w:cs="Arial"/>
          <w:szCs w:val="24"/>
        </w:rPr>
        <w:tab/>
      </w:r>
    </w:p>
    <w:p w14:paraId="08F24A23" w14:textId="23E505A1" w:rsidR="00BF3643" w:rsidRPr="00BF3643" w:rsidRDefault="00BF3643" w:rsidP="00BF3643">
      <w:pPr>
        <w:rPr>
          <w:rFonts w:ascii="Arial" w:hAnsi="Arial" w:cs="Arial"/>
          <w:b/>
          <w:szCs w:val="24"/>
        </w:rPr>
      </w:pPr>
      <w:r w:rsidRPr="00BF3643">
        <w:rPr>
          <w:rFonts w:ascii="Arial" w:hAnsi="Arial" w:cs="Arial"/>
          <w:b/>
          <w:szCs w:val="24"/>
        </w:rPr>
        <w:t>Rod Whithear</w:t>
      </w:r>
    </w:p>
    <w:p w14:paraId="5212E400" w14:textId="2415AB43" w:rsidR="00BF3643" w:rsidRPr="00BF3643" w:rsidRDefault="00BF3643" w:rsidP="00BF3643">
      <w:pPr>
        <w:rPr>
          <w:rFonts w:ascii="Arial" w:hAnsi="Arial" w:cs="Arial"/>
          <w:szCs w:val="24"/>
        </w:rPr>
      </w:pPr>
      <w:r w:rsidRPr="00BF3643">
        <w:rPr>
          <w:rFonts w:ascii="Arial" w:hAnsi="Arial" w:cs="Arial"/>
          <w:szCs w:val="24"/>
        </w:rPr>
        <w:t>Chief Executive</w:t>
      </w:r>
    </w:p>
    <w:p w14:paraId="39C1B230" w14:textId="6E57DE89" w:rsidR="00BF3643" w:rsidRPr="00455E6E" w:rsidRDefault="00BF3643" w:rsidP="00BF3643">
      <w:pPr>
        <w:rPr>
          <w:rFonts w:ascii="Arial" w:hAnsi="Arial" w:cs="Arial"/>
          <w:b/>
          <w:szCs w:val="24"/>
        </w:rPr>
      </w:pPr>
      <w:r w:rsidRPr="003C008D">
        <w:rPr>
          <w:rFonts w:ascii="Arial" w:hAnsi="Arial" w:cs="Arial"/>
          <w:szCs w:val="24"/>
        </w:rPr>
        <w:tab/>
      </w:r>
      <w:r w:rsidRPr="003C008D">
        <w:rPr>
          <w:rFonts w:ascii="Arial" w:hAnsi="Arial" w:cs="Arial"/>
          <w:szCs w:val="24"/>
        </w:rPr>
        <w:tab/>
      </w:r>
      <w:r w:rsidRPr="003C008D">
        <w:rPr>
          <w:rFonts w:ascii="Arial" w:hAnsi="Arial" w:cs="Arial"/>
          <w:szCs w:val="24"/>
        </w:rPr>
        <w:tab/>
      </w:r>
      <w:r>
        <w:rPr>
          <w:rFonts w:ascii="Arial" w:hAnsi="Arial" w:cs="Arial"/>
          <w:szCs w:val="24"/>
        </w:rPr>
        <w:tab/>
      </w:r>
    </w:p>
    <w:p w14:paraId="73C334C5" w14:textId="77777777" w:rsidR="00371A85" w:rsidRDefault="00371A85" w:rsidP="00371A85">
      <w:pPr>
        <w:rPr>
          <w:rFonts w:ascii="Arial" w:hAnsi="Arial" w:cs="Arial"/>
          <w:szCs w:val="24"/>
        </w:rPr>
      </w:pPr>
    </w:p>
    <w:p w14:paraId="22CC644D" w14:textId="77777777" w:rsidR="00371A85" w:rsidRDefault="00371A85" w:rsidP="00371A85">
      <w:pPr>
        <w:rPr>
          <w:rFonts w:ascii="Arial" w:hAnsi="Arial" w:cs="Arial"/>
          <w:szCs w:val="24"/>
        </w:rPr>
      </w:pPr>
    </w:p>
    <w:p w14:paraId="1630A5D5" w14:textId="77777777" w:rsidR="00371A85" w:rsidRDefault="00371A85" w:rsidP="00371A85">
      <w:pPr>
        <w:rPr>
          <w:rFonts w:ascii="Arial" w:hAnsi="Arial" w:cs="Arial"/>
          <w:szCs w:val="24"/>
        </w:rPr>
      </w:pPr>
    </w:p>
    <w:p w14:paraId="63569745" w14:textId="77777777" w:rsidR="00371A85" w:rsidRDefault="00371A85" w:rsidP="00371A85">
      <w:pPr>
        <w:rPr>
          <w:rFonts w:ascii="Arial" w:hAnsi="Arial" w:cs="Arial"/>
          <w:szCs w:val="24"/>
        </w:rPr>
      </w:pPr>
    </w:p>
    <w:p w14:paraId="0BF6296E" w14:textId="77777777" w:rsidR="00371A85" w:rsidRDefault="00371A85" w:rsidP="00371A85">
      <w:pPr>
        <w:rPr>
          <w:rFonts w:ascii="Arial" w:hAnsi="Arial" w:cs="Arial"/>
          <w:szCs w:val="24"/>
        </w:rPr>
      </w:pPr>
    </w:p>
    <w:p w14:paraId="7DA021FF" w14:textId="77777777" w:rsidR="00371A85" w:rsidRDefault="00371A85" w:rsidP="00371A85">
      <w:pPr>
        <w:rPr>
          <w:rFonts w:ascii="Arial" w:hAnsi="Arial" w:cs="Arial"/>
          <w:szCs w:val="24"/>
        </w:rPr>
      </w:pPr>
    </w:p>
    <w:p w14:paraId="034526F5" w14:textId="77777777" w:rsidR="00371A85" w:rsidRDefault="00371A85" w:rsidP="00371A85">
      <w:pPr>
        <w:rPr>
          <w:rFonts w:ascii="Arial" w:hAnsi="Arial" w:cs="Arial"/>
          <w:szCs w:val="24"/>
        </w:rPr>
      </w:pPr>
    </w:p>
    <w:p w14:paraId="0EF42719" w14:textId="77777777" w:rsidR="00371A85" w:rsidRDefault="00371A85" w:rsidP="00371A85">
      <w:pPr>
        <w:rPr>
          <w:rFonts w:ascii="Arial" w:hAnsi="Arial" w:cs="Arial"/>
          <w:szCs w:val="24"/>
        </w:rPr>
      </w:pPr>
    </w:p>
    <w:p w14:paraId="478CB65C" w14:textId="77777777" w:rsidR="00371A85" w:rsidRDefault="00371A85" w:rsidP="00371A85">
      <w:pPr>
        <w:rPr>
          <w:rFonts w:ascii="Arial" w:hAnsi="Arial" w:cs="Arial"/>
          <w:szCs w:val="24"/>
        </w:rPr>
      </w:pPr>
    </w:p>
    <w:p w14:paraId="7C3CD4D0" w14:textId="77777777" w:rsidR="00371A85" w:rsidRDefault="00371A85" w:rsidP="00371A85">
      <w:pPr>
        <w:rPr>
          <w:rFonts w:ascii="Arial" w:hAnsi="Arial" w:cs="Arial"/>
          <w:szCs w:val="24"/>
        </w:rPr>
      </w:pPr>
    </w:p>
    <w:p w14:paraId="44BD3742" w14:textId="77777777" w:rsidR="00371A85" w:rsidRDefault="00371A85" w:rsidP="00371A85">
      <w:pPr>
        <w:rPr>
          <w:rFonts w:ascii="Arial" w:hAnsi="Arial" w:cs="Arial"/>
          <w:szCs w:val="24"/>
        </w:rPr>
      </w:pPr>
    </w:p>
    <w:p w14:paraId="29FDB705" w14:textId="77777777" w:rsidR="00371A85" w:rsidRDefault="00371A85" w:rsidP="00371A85">
      <w:pPr>
        <w:rPr>
          <w:rFonts w:ascii="Arial" w:hAnsi="Arial" w:cs="Arial"/>
          <w:szCs w:val="24"/>
        </w:rPr>
      </w:pPr>
    </w:p>
    <w:p w14:paraId="0562FEB5" w14:textId="77777777" w:rsidR="00371A85" w:rsidRDefault="00371A85" w:rsidP="00371A85">
      <w:pPr>
        <w:rPr>
          <w:rFonts w:ascii="Arial" w:hAnsi="Arial" w:cs="Arial"/>
          <w:szCs w:val="24"/>
        </w:rPr>
      </w:pPr>
    </w:p>
    <w:p w14:paraId="41D20899" w14:textId="77777777" w:rsidR="00371A85" w:rsidRDefault="00371A85" w:rsidP="00371A85">
      <w:pPr>
        <w:rPr>
          <w:rFonts w:ascii="Arial" w:hAnsi="Arial" w:cs="Arial"/>
          <w:szCs w:val="24"/>
        </w:rPr>
      </w:pPr>
    </w:p>
    <w:p w14:paraId="31A09AD1" w14:textId="77777777" w:rsidR="00371A85" w:rsidRDefault="00371A85" w:rsidP="00371A85">
      <w:pPr>
        <w:rPr>
          <w:rFonts w:ascii="Arial" w:hAnsi="Arial" w:cs="Arial"/>
          <w:szCs w:val="24"/>
        </w:rPr>
      </w:pPr>
    </w:p>
    <w:p w14:paraId="79601778" w14:textId="77777777" w:rsidR="00371A85" w:rsidRDefault="00371A85" w:rsidP="00371A85">
      <w:pPr>
        <w:rPr>
          <w:rFonts w:ascii="Arial" w:hAnsi="Arial" w:cs="Arial"/>
          <w:szCs w:val="24"/>
        </w:rPr>
      </w:pPr>
    </w:p>
    <w:p w14:paraId="767144BC" w14:textId="77777777" w:rsidR="00371A85" w:rsidRDefault="00371A85" w:rsidP="00371A85">
      <w:pPr>
        <w:rPr>
          <w:rFonts w:ascii="Arial" w:hAnsi="Arial" w:cs="Arial"/>
          <w:szCs w:val="24"/>
        </w:rPr>
      </w:pPr>
    </w:p>
    <w:p w14:paraId="7266E119" w14:textId="77777777" w:rsidR="00371A85" w:rsidRDefault="00371A85" w:rsidP="00371A85">
      <w:pPr>
        <w:rPr>
          <w:rFonts w:ascii="Arial" w:hAnsi="Arial" w:cs="Arial"/>
          <w:szCs w:val="24"/>
        </w:rPr>
      </w:pPr>
    </w:p>
    <w:p w14:paraId="6FD65F36" w14:textId="77777777" w:rsidR="00371A85" w:rsidRDefault="00371A85" w:rsidP="00371A85">
      <w:pPr>
        <w:rPr>
          <w:rFonts w:ascii="Arial" w:hAnsi="Arial" w:cs="Arial"/>
          <w:szCs w:val="24"/>
        </w:rPr>
      </w:pPr>
    </w:p>
    <w:p w14:paraId="0E0F8073" w14:textId="77777777" w:rsidR="00371A85" w:rsidRDefault="00371A85" w:rsidP="00371A85">
      <w:pPr>
        <w:rPr>
          <w:rFonts w:ascii="Arial" w:hAnsi="Arial" w:cs="Arial"/>
          <w:szCs w:val="24"/>
        </w:rPr>
      </w:pPr>
    </w:p>
    <w:p w14:paraId="03BF6990" w14:textId="77777777" w:rsidR="00371A85" w:rsidRDefault="00371A85" w:rsidP="00371A85">
      <w:pPr>
        <w:rPr>
          <w:rFonts w:ascii="Arial" w:hAnsi="Arial" w:cs="Arial"/>
          <w:szCs w:val="24"/>
        </w:rPr>
      </w:pPr>
    </w:p>
    <w:p w14:paraId="61416C1D" w14:textId="77777777" w:rsidR="00371A85" w:rsidRDefault="00371A85" w:rsidP="00371A85">
      <w:pPr>
        <w:rPr>
          <w:rFonts w:ascii="Arial" w:hAnsi="Arial" w:cs="Arial"/>
          <w:szCs w:val="24"/>
        </w:rPr>
      </w:pPr>
    </w:p>
    <w:p w14:paraId="25DD7438" w14:textId="77777777" w:rsidR="00371A85" w:rsidRDefault="00371A85" w:rsidP="00371A85">
      <w:pPr>
        <w:rPr>
          <w:rFonts w:ascii="Arial" w:hAnsi="Arial" w:cs="Arial"/>
          <w:szCs w:val="24"/>
        </w:rPr>
      </w:pPr>
    </w:p>
    <w:p w14:paraId="3BC06076" w14:textId="77777777" w:rsidR="00371A85" w:rsidRDefault="00371A85" w:rsidP="00371A85">
      <w:pPr>
        <w:rPr>
          <w:rFonts w:ascii="Arial" w:hAnsi="Arial" w:cs="Arial"/>
          <w:szCs w:val="24"/>
        </w:rPr>
      </w:pPr>
    </w:p>
    <w:p w14:paraId="5E4159B8" w14:textId="77777777" w:rsidR="00371A85" w:rsidRDefault="00371A85" w:rsidP="00371A85">
      <w:pPr>
        <w:rPr>
          <w:rFonts w:ascii="Arial" w:hAnsi="Arial" w:cs="Arial"/>
          <w:szCs w:val="24"/>
        </w:rPr>
      </w:pPr>
    </w:p>
    <w:p w14:paraId="61ACE536" w14:textId="77777777" w:rsidR="00371A85" w:rsidRDefault="00371A85" w:rsidP="00371A85">
      <w:pPr>
        <w:rPr>
          <w:rFonts w:ascii="Arial" w:hAnsi="Arial" w:cs="Arial"/>
          <w:szCs w:val="24"/>
        </w:rPr>
      </w:pPr>
    </w:p>
    <w:p w14:paraId="40E22FA5" w14:textId="77777777" w:rsidR="00371A85" w:rsidRPr="00625A9A" w:rsidRDefault="00371A85" w:rsidP="00371A85">
      <w:pPr>
        <w:pStyle w:val="ARHeading2"/>
      </w:pPr>
      <w:bookmarkStart w:id="4" w:name="_Toc524709380"/>
      <w:r w:rsidRPr="00625A9A">
        <w:lastRenderedPageBreak/>
        <w:t>1.3</w:t>
      </w:r>
      <w:r w:rsidRPr="00625A9A">
        <w:tab/>
        <w:t>Performance Highlights</w:t>
      </w:r>
      <w:bookmarkEnd w:id="4"/>
    </w:p>
    <w:p w14:paraId="404A9D6A" w14:textId="77777777" w:rsidR="00371A85" w:rsidRDefault="00371A85" w:rsidP="00371A85">
      <w:pPr>
        <w:jc w:val="left"/>
        <w:rPr>
          <w:rFonts w:ascii="Arial" w:eastAsiaTheme="majorEastAsia" w:hAnsi="Arial" w:cs="Arial"/>
          <w:noProof/>
          <w:szCs w:val="24"/>
          <w:lang w:eastAsia="en-AU"/>
        </w:rPr>
      </w:pPr>
    </w:p>
    <w:tbl>
      <w:tblPr>
        <w:tblStyle w:val="TableGrid"/>
        <w:tblW w:w="0" w:type="auto"/>
        <w:tblLook w:val="04A0" w:firstRow="1" w:lastRow="0" w:firstColumn="1" w:lastColumn="0" w:noHBand="0" w:noVBand="1"/>
      </w:tblPr>
      <w:tblGrid>
        <w:gridCol w:w="3004"/>
        <w:gridCol w:w="3007"/>
        <w:gridCol w:w="3005"/>
      </w:tblGrid>
      <w:tr w:rsidR="00371A85" w14:paraId="7EF770B9" w14:textId="77777777" w:rsidTr="00655467">
        <w:tc>
          <w:tcPr>
            <w:tcW w:w="3020" w:type="dxa"/>
          </w:tcPr>
          <w:p w14:paraId="0985C87F" w14:textId="77777777" w:rsidR="00371A85" w:rsidRDefault="00371A85" w:rsidP="00655467">
            <w:pPr>
              <w:jc w:val="center"/>
              <w:rPr>
                <w:rFonts w:ascii="Arial" w:eastAsiaTheme="majorEastAsia" w:hAnsi="Arial" w:cs="Arial"/>
                <w:noProof/>
                <w:szCs w:val="24"/>
              </w:rPr>
            </w:pPr>
            <w:r>
              <w:rPr>
                <w:rFonts w:ascii="Arial" w:eastAsiaTheme="majorEastAsia" w:hAnsi="Arial" w:cs="Arial"/>
                <w:noProof/>
                <w:szCs w:val="24"/>
              </w:rPr>
              <w:t>Third Party Insurance Fund</w:t>
            </w:r>
          </w:p>
        </w:tc>
        <w:tc>
          <w:tcPr>
            <w:tcW w:w="3020" w:type="dxa"/>
          </w:tcPr>
          <w:p w14:paraId="6C697392" w14:textId="77777777" w:rsidR="00371A85" w:rsidRDefault="00371A85" w:rsidP="00655467">
            <w:pPr>
              <w:jc w:val="center"/>
              <w:rPr>
                <w:rFonts w:ascii="Arial" w:eastAsiaTheme="majorEastAsia" w:hAnsi="Arial" w:cs="Arial"/>
                <w:noProof/>
                <w:szCs w:val="24"/>
              </w:rPr>
            </w:pPr>
            <w:r>
              <w:rPr>
                <w:rFonts w:ascii="Arial" w:eastAsiaTheme="majorEastAsia" w:hAnsi="Arial" w:cs="Arial"/>
                <w:noProof/>
                <w:szCs w:val="24"/>
              </w:rPr>
              <w:t>Motor Vehicle (Catastrophic Injuries) Fund</w:t>
            </w:r>
          </w:p>
        </w:tc>
        <w:tc>
          <w:tcPr>
            <w:tcW w:w="3020" w:type="dxa"/>
          </w:tcPr>
          <w:p w14:paraId="2483942A" w14:textId="77777777" w:rsidR="00371A85" w:rsidRDefault="00371A85" w:rsidP="00655467">
            <w:pPr>
              <w:jc w:val="center"/>
              <w:rPr>
                <w:rFonts w:ascii="Arial" w:eastAsiaTheme="majorEastAsia" w:hAnsi="Arial" w:cs="Arial"/>
                <w:noProof/>
                <w:szCs w:val="24"/>
              </w:rPr>
            </w:pPr>
            <w:r>
              <w:rPr>
                <w:rFonts w:ascii="Arial" w:eastAsiaTheme="majorEastAsia" w:hAnsi="Arial" w:cs="Arial"/>
                <w:noProof/>
                <w:szCs w:val="24"/>
              </w:rPr>
              <w:t>RiskCover</w:t>
            </w:r>
          </w:p>
          <w:p w14:paraId="66D7C6ED" w14:textId="77777777" w:rsidR="00371A85" w:rsidRDefault="00371A85" w:rsidP="00655467">
            <w:pPr>
              <w:jc w:val="center"/>
              <w:rPr>
                <w:rFonts w:ascii="Arial" w:eastAsiaTheme="majorEastAsia" w:hAnsi="Arial" w:cs="Arial"/>
                <w:noProof/>
                <w:szCs w:val="24"/>
              </w:rPr>
            </w:pPr>
            <w:r>
              <w:rPr>
                <w:rFonts w:ascii="Arial" w:eastAsiaTheme="majorEastAsia" w:hAnsi="Arial" w:cs="Arial"/>
                <w:noProof/>
                <w:szCs w:val="24"/>
              </w:rPr>
              <w:t>Not Consolidated into Insurance Commission Finances</w:t>
            </w:r>
          </w:p>
        </w:tc>
      </w:tr>
      <w:tr w:rsidR="00371A85" w14:paraId="722C74B3" w14:textId="77777777" w:rsidTr="00655467">
        <w:tc>
          <w:tcPr>
            <w:tcW w:w="9060" w:type="dxa"/>
            <w:gridSpan w:val="3"/>
          </w:tcPr>
          <w:p w14:paraId="75AC685B" w14:textId="77777777" w:rsidR="00371A85" w:rsidRDefault="00371A85" w:rsidP="00655467">
            <w:pPr>
              <w:jc w:val="center"/>
              <w:rPr>
                <w:rFonts w:ascii="Arial" w:eastAsiaTheme="majorEastAsia" w:hAnsi="Arial" w:cs="Arial"/>
                <w:noProof/>
                <w:szCs w:val="24"/>
              </w:rPr>
            </w:pPr>
            <w:r>
              <w:rPr>
                <w:rFonts w:ascii="Arial" w:eastAsiaTheme="majorEastAsia" w:hAnsi="Arial" w:cs="Arial"/>
                <w:noProof/>
                <w:szCs w:val="24"/>
              </w:rPr>
              <w:t>Insurance Commission</w:t>
            </w:r>
          </w:p>
        </w:tc>
      </w:tr>
      <w:tr w:rsidR="00371A85" w14:paraId="3C5C8FFC" w14:textId="77777777" w:rsidTr="00655467">
        <w:tc>
          <w:tcPr>
            <w:tcW w:w="3020" w:type="dxa"/>
          </w:tcPr>
          <w:p w14:paraId="2E85EACB" w14:textId="77777777" w:rsidR="00371A85" w:rsidRDefault="00371A85" w:rsidP="00655467">
            <w:pPr>
              <w:jc w:val="center"/>
              <w:rPr>
                <w:rFonts w:ascii="Arial" w:eastAsiaTheme="majorEastAsia" w:hAnsi="Arial" w:cs="Arial"/>
                <w:noProof/>
                <w:szCs w:val="24"/>
              </w:rPr>
            </w:pPr>
            <w:r>
              <w:rPr>
                <w:rFonts w:ascii="Arial" w:eastAsiaTheme="majorEastAsia" w:hAnsi="Arial" w:cs="Arial"/>
                <w:noProof/>
                <w:szCs w:val="24"/>
              </w:rPr>
              <w:t>Insurance Commission General Fund</w:t>
            </w:r>
          </w:p>
        </w:tc>
        <w:tc>
          <w:tcPr>
            <w:tcW w:w="3020" w:type="dxa"/>
          </w:tcPr>
          <w:p w14:paraId="628D39A6" w14:textId="77777777" w:rsidR="00371A85" w:rsidRDefault="00371A85" w:rsidP="00655467">
            <w:pPr>
              <w:jc w:val="center"/>
              <w:rPr>
                <w:rFonts w:ascii="Arial" w:eastAsiaTheme="majorEastAsia" w:hAnsi="Arial" w:cs="Arial"/>
                <w:noProof/>
                <w:szCs w:val="24"/>
              </w:rPr>
            </w:pPr>
            <w:r>
              <w:rPr>
                <w:rFonts w:ascii="Arial" w:eastAsiaTheme="majorEastAsia" w:hAnsi="Arial" w:cs="Arial"/>
                <w:noProof/>
                <w:szCs w:val="24"/>
              </w:rPr>
              <w:t>Compensation (Industrial Diseases) Fund</w:t>
            </w:r>
          </w:p>
        </w:tc>
        <w:tc>
          <w:tcPr>
            <w:tcW w:w="3020" w:type="dxa"/>
          </w:tcPr>
          <w:p w14:paraId="5EE96F38" w14:textId="77777777" w:rsidR="00371A85" w:rsidRDefault="00371A85" w:rsidP="00655467">
            <w:pPr>
              <w:jc w:val="center"/>
              <w:rPr>
                <w:rFonts w:ascii="Arial" w:eastAsiaTheme="majorEastAsia" w:hAnsi="Arial" w:cs="Arial"/>
                <w:noProof/>
                <w:szCs w:val="24"/>
              </w:rPr>
            </w:pPr>
            <w:r>
              <w:rPr>
                <w:rFonts w:ascii="Arial" w:eastAsiaTheme="majorEastAsia" w:hAnsi="Arial" w:cs="Arial"/>
                <w:noProof/>
                <w:szCs w:val="24"/>
              </w:rPr>
              <w:t>Government Insurance Fund</w:t>
            </w:r>
          </w:p>
        </w:tc>
      </w:tr>
    </w:tbl>
    <w:p w14:paraId="6A5C9F86" w14:textId="2FE48394" w:rsidR="00371A85" w:rsidRDefault="00371A85" w:rsidP="00371A85">
      <w:pPr>
        <w:jc w:val="left"/>
        <w:rPr>
          <w:rFonts w:ascii="Arial" w:eastAsiaTheme="majorEastAsia" w:hAnsi="Arial" w:cs="Arial"/>
          <w:noProof/>
          <w:szCs w:val="24"/>
          <w:lang w:eastAsia="en-AU"/>
        </w:rPr>
      </w:pPr>
      <w:r>
        <w:rPr>
          <w:rFonts w:ascii="Arial" w:eastAsiaTheme="majorEastAsia" w:hAnsi="Arial" w:cs="Arial"/>
          <w:noProof/>
          <w:szCs w:val="24"/>
          <w:lang w:eastAsia="en-AU"/>
        </w:rPr>
        <w:tab/>
      </w:r>
      <w:r>
        <w:rPr>
          <w:rFonts w:ascii="Arial" w:eastAsiaTheme="majorEastAsia" w:hAnsi="Arial" w:cs="Arial"/>
          <w:noProof/>
          <w:szCs w:val="24"/>
          <w:lang w:eastAsia="en-AU"/>
        </w:rPr>
        <w:tab/>
      </w:r>
    </w:p>
    <w:tbl>
      <w:tblPr>
        <w:tblStyle w:val="TableGrid"/>
        <w:tblW w:w="0" w:type="auto"/>
        <w:tblLook w:val="04A0" w:firstRow="1" w:lastRow="0" w:firstColumn="1" w:lastColumn="0" w:noHBand="0" w:noVBand="1"/>
      </w:tblPr>
      <w:tblGrid>
        <w:gridCol w:w="1808"/>
        <w:gridCol w:w="1806"/>
        <w:gridCol w:w="1795"/>
        <w:gridCol w:w="1810"/>
        <w:gridCol w:w="1797"/>
      </w:tblGrid>
      <w:tr w:rsidR="00371A85" w14:paraId="2696AE7F" w14:textId="77777777" w:rsidTr="00655467">
        <w:tc>
          <w:tcPr>
            <w:tcW w:w="1812" w:type="dxa"/>
          </w:tcPr>
          <w:p w14:paraId="7E60C645" w14:textId="77777777" w:rsidR="00371A85" w:rsidRDefault="00371A85" w:rsidP="00655467">
            <w:pPr>
              <w:jc w:val="left"/>
              <w:rPr>
                <w:rFonts w:ascii="Arial" w:eastAsiaTheme="majorEastAsia" w:hAnsi="Arial" w:cs="Arial"/>
                <w:szCs w:val="24"/>
              </w:rPr>
            </w:pPr>
          </w:p>
        </w:tc>
        <w:tc>
          <w:tcPr>
            <w:tcW w:w="1812" w:type="dxa"/>
          </w:tcPr>
          <w:p w14:paraId="61A3492A" w14:textId="77777777" w:rsidR="00371A85" w:rsidRDefault="00371A85" w:rsidP="00655467">
            <w:pPr>
              <w:jc w:val="left"/>
              <w:rPr>
                <w:rFonts w:ascii="Arial" w:eastAsiaTheme="majorEastAsia" w:hAnsi="Arial" w:cs="Arial"/>
                <w:szCs w:val="24"/>
              </w:rPr>
            </w:pPr>
            <w:r w:rsidRPr="00250176">
              <w:rPr>
                <w:rFonts w:ascii="Arial" w:eastAsiaTheme="majorEastAsia" w:hAnsi="Arial" w:cs="Arial"/>
                <w:b/>
                <w:szCs w:val="24"/>
              </w:rPr>
              <w:t>Insurance Commission</w:t>
            </w:r>
            <w:r>
              <w:rPr>
                <w:rFonts w:ascii="Arial" w:eastAsiaTheme="majorEastAsia" w:hAnsi="Arial" w:cs="Arial"/>
                <w:szCs w:val="24"/>
              </w:rPr>
              <w:t xml:space="preserve"> (Total)</w:t>
            </w:r>
          </w:p>
        </w:tc>
        <w:tc>
          <w:tcPr>
            <w:tcW w:w="1812" w:type="dxa"/>
          </w:tcPr>
          <w:p w14:paraId="503AB316" w14:textId="77777777" w:rsidR="00371A85" w:rsidRPr="00250176" w:rsidRDefault="00371A85" w:rsidP="00655467">
            <w:pPr>
              <w:jc w:val="left"/>
              <w:rPr>
                <w:rFonts w:ascii="Arial" w:eastAsiaTheme="majorEastAsia" w:hAnsi="Arial" w:cs="Arial"/>
                <w:b/>
                <w:szCs w:val="24"/>
              </w:rPr>
            </w:pPr>
            <w:r>
              <w:rPr>
                <w:rFonts w:ascii="Arial" w:eastAsiaTheme="majorEastAsia" w:hAnsi="Arial" w:cs="Arial"/>
                <w:b/>
                <w:szCs w:val="24"/>
              </w:rPr>
              <w:t>Third Party Insurance Fund</w:t>
            </w:r>
          </w:p>
        </w:tc>
        <w:tc>
          <w:tcPr>
            <w:tcW w:w="1812" w:type="dxa"/>
          </w:tcPr>
          <w:p w14:paraId="76F5433B" w14:textId="77777777" w:rsidR="00371A85" w:rsidRPr="00250176" w:rsidRDefault="00371A85" w:rsidP="00655467">
            <w:pPr>
              <w:jc w:val="left"/>
              <w:rPr>
                <w:rFonts w:ascii="Arial" w:eastAsiaTheme="majorEastAsia" w:hAnsi="Arial" w:cs="Arial"/>
                <w:b/>
                <w:szCs w:val="24"/>
              </w:rPr>
            </w:pPr>
            <w:r>
              <w:rPr>
                <w:rFonts w:ascii="Arial" w:eastAsiaTheme="majorEastAsia" w:hAnsi="Arial" w:cs="Arial"/>
                <w:b/>
                <w:szCs w:val="24"/>
              </w:rPr>
              <w:t>Motor Vehicle (Catastrophic Injuries) Fund</w:t>
            </w:r>
          </w:p>
        </w:tc>
        <w:tc>
          <w:tcPr>
            <w:tcW w:w="1812" w:type="dxa"/>
          </w:tcPr>
          <w:p w14:paraId="3A213262" w14:textId="77777777" w:rsidR="00371A85" w:rsidRPr="00250176" w:rsidRDefault="00371A85" w:rsidP="00655467">
            <w:pPr>
              <w:jc w:val="left"/>
              <w:rPr>
                <w:rFonts w:ascii="Arial" w:eastAsiaTheme="majorEastAsia" w:hAnsi="Arial" w:cs="Arial"/>
                <w:b/>
                <w:szCs w:val="24"/>
              </w:rPr>
            </w:pPr>
            <w:r w:rsidRPr="00250176">
              <w:rPr>
                <w:rFonts w:ascii="Arial" w:eastAsiaTheme="majorEastAsia" w:hAnsi="Arial" w:cs="Arial"/>
                <w:b/>
                <w:szCs w:val="24"/>
              </w:rPr>
              <w:t>RiskCover</w:t>
            </w:r>
          </w:p>
        </w:tc>
      </w:tr>
      <w:tr w:rsidR="00371A85" w14:paraId="6FFE2449" w14:textId="77777777" w:rsidTr="00655467">
        <w:tc>
          <w:tcPr>
            <w:tcW w:w="1812" w:type="dxa"/>
          </w:tcPr>
          <w:p w14:paraId="7DB11041" w14:textId="77777777" w:rsidR="00371A85" w:rsidRPr="00250176" w:rsidRDefault="00371A85" w:rsidP="00655467">
            <w:pPr>
              <w:jc w:val="left"/>
              <w:rPr>
                <w:rFonts w:ascii="Arial" w:eastAsiaTheme="majorEastAsia" w:hAnsi="Arial" w:cs="Arial"/>
                <w:b/>
                <w:szCs w:val="24"/>
              </w:rPr>
            </w:pPr>
            <w:r>
              <w:rPr>
                <w:rFonts w:ascii="Arial" w:eastAsiaTheme="majorEastAsia" w:hAnsi="Arial" w:cs="Arial"/>
                <w:b/>
                <w:szCs w:val="24"/>
              </w:rPr>
              <w:t>Profit/Loss Before Tax</w:t>
            </w:r>
          </w:p>
        </w:tc>
        <w:tc>
          <w:tcPr>
            <w:tcW w:w="1812" w:type="dxa"/>
          </w:tcPr>
          <w:p w14:paraId="0CC990D1"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$382.7m</w:t>
            </w:r>
          </w:p>
        </w:tc>
        <w:tc>
          <w:tcPr>
            <w:tcW w:w="1812" w:type="dxa"/>
          </w:tcPr>
          <w:p w14:paraId="2BC55780"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$331.2m</w:t>
            </w:r>
          </w:p>
        </w:tc>
        <w:tc>
          <w:tcPr>
            <w:tcW w:w="1812" w:type="dxa"/>
          </w:tcPr>
          <w:p w14:paraId="4CBA9E78"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$52.6m</w:t>
            </w:r>
          </w:p>
        </w:tc>
        <w:tc>
          <w:tcPr>
            <w:tcW w:w="1812" w:type="dxa"/>
          </w:tcPr>
          <w:p w14:paraId="2E5E3AAF"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$159.2m</w:t>
            </w:r>
          </w:p>
        </w:tc>
      </w:tr>
      <w:tr w:rsidR="00371A85" w14:paraId="2F13386F" w14:textId="77777777" w:rsidTr="00655467">
        <w:tc>
          <w:tcPr>
            <w:tcW w:w="1812" w:type="dxa"/>
          </w:tcPr>
          <w:p w14:paraId="03C30720" w14:textId="77777777" w:rsidR="00371A85" w:rsidRPr="00250176" w:rsidRDefault="00371A85" w:rsidP="00655467">
            <w:pPr>
              <w:jc w:val="left"/>
              <w:rPr>
                <w:rFonts w:ascii="Arial" w:eastAsiaTheme="majorEastAsia" w:hAnsi="Arial" w:cs="Arial"/>
                <w:b/>
                <w:szCs w:val="24"/>
              </w:rPr>
            </w:pPr>
            <w:r>
              <w:rPr>
                <w:rFonts w:ascii="Arial" w:eastAsiaTheme="majorEastAsia" w:hAnsi="Arial" w:cs="Arial"/>
                <w:b/>
                <w:szCs w:val="24"/>
              </w:rPr>
              <w:t>Premium Revenue</w:t>
            </w:r>
          </w:p>
        </w:tc>
        <w:tc>
          <w:tcPr>
            <w:tcW w:w="1812" w:type="dxa"/>
          </w:tcPr>
          <w:p w14:paraId="6BF4FAD0"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$769.6m</w:t>
            </w:r>
          </w:p>
        </w:tc>
        <w:tc>
          <w:tcPr>
            <w:tcW w:w="1812" w:type="dxa"/>
          </w:tcPr>
          <w:p w14:paraId="3046F380"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$590.8m</w:t>
            </w:r>
          </w:p>
        </w:tc>
        <w:tc>
          <w:tcPr>
            <w:tcW w:w="1812" w:type="dxa"/>
          </w:tcPr>
          <w:p w14:paraId="2CF84BBE"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$178.7m</w:t>
            </w:r>
          </w:p>
        </w:tc>
        <w:tc>
          <w:tcPr>
            <w:tcW w:w="1812" w:type="dxa"/>
          </w:tcPr>
          <w:p w14:paraId="4C7E947C"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$299.8m</w:t>
            </w:r>
          </w:p>
        </w:tc>
      </w:tr>
      <w:tr w:rsidR="00371A85" w14:paraId="45F9FBD8" w14:textId="77777777" w:rsidTr="00655467">
        <w:tc>
          <w:tcPr>
            <w:tcW w:w="1812" w:type="dxa"/>
          </w:tcPr>
          <w:p w14:paraId="0F68B692" w14:textId="77777777" w:rsidR="00371A85" w:rsidRPr="00250176" w:rsidRDefault="00371A85" w:rsidP="00655467">
            <w:pPr>
              <w:jc w:val="left"/>
              <w:rPr>
                <w:rFonts w:ascii="Arial" w:eastAsiaTheme="majorEastAsia" w:hAnsi="Arial" w:cs="Arial"/>
                <w:b/>
                <w:szCs w:val="24"/>
              </w:rPr>
            </w:pPr>
            <w:r>
              <w:rPr>
                <w:rFonts w:ascii="Arial" w:eastAsiaTheme="majorEastAsia" w:hAnsi="Arial" w:cs="Arial"/>
                <w:b/>
                <w:szCs w:val="24"/>
              </w:rPr>
              <w:t>Underwriting Profit</w:t>
            </w:r>
          </w:p>
        </w:tc>
        <w:tc>
          <w:tcPr>
            <w:tcW w:w="1812" w:type="dxa"/>
          </w:tcPr>
          <w:p w14:paraId="3F30B404"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$33.8m</w:t>
            </w:r>
          </w:p>
        </w:tc>
        <w:tc>
          <w:tcPr>
            <w:tcW w:w="1812" w:type="dxa"/>
          </w:tcPr>
          <w:p w14:paraId="4A76C10A"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$26m</w:t>
            </w:r>
          </w:p>
        </w:tc>
        <w:tc>
          <w:tcPr>
            <w:tcW w:w="1812" w:type="dxa"/>
          </w:tcPr>
          <w:p w14:paraId="48D87054"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$37.6m</w:t>
            </w:r>
          </w:p>
        </w:tc>
        <w:tc>
          <w:tcPr>
            <w:tcW w:w="1812" w:type="dxa"/>
          </w:tcPr>
          <w:p w14:paraId="325A1C3C"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$63.5m</w:t>
            </w:r>
          </w:p>
        </w:tc>
      </w:tr>
      <w:tr w:rsidR="00371A85" w14:paraId="6B72C319" w14:textId="77777777" w:rsidTr="00655467">
        <w:tc>
          <w:tcPr>
            <w:tcW w:w="1812" w:type="dxa"/>
          </w:tcPr>
          <w:p w14:paraId="223F6357" w14:textId="77777777" w:rsidR="00371A85" w:rsidRPr="00250176" w:rsidRDefault="00371A85" w:rsidP="00655467">
            <w:pPr>
              <w:jc w:val="left"/>
              <w:rPr>
                <w:rFonts w:ascii="Arial" w:eastAsiaTheme="majorEastAsia" w:hAnsi="Arial" w:cs="Arial"/>
                <w:b/>
                <w:szCs w:val="24"/>
              </w:rPr>
            </w:pPr>
            <w:r>
              <w:rPr>
                <w:rFonts w:ascii="Arial" w:eastAsiaTheme="majorEastAsia" w:hAnsi="Arial" w:cs="Arial"/>
                <w:b/>
                <w:szCs w:val="24"/>
              </w:rPr>
              <w:t>Total Assets</w:t>
            </w:r>
          </w:p>
        </w:tc>
        <w:tc>
          <w:tcPr>
            <w:tcW w:w="1812" w:type="dxa"/>
          </w:tcPr>
          <w:p w14:paraId="74D2BA39"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$5.6b</w:t>
            </w:r>
          </w:p>
        </w:tc>
        <w:tc>
          <w:tcPr>
            <w:tcW w:w="1812" w:type="dxa"/>
          </w:tcPr>
          <w:p w14:paraId="533F10B2"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$3.8b</w:t>
            </w:r>
          </w:p>
        </w:tc>
        <w:tc>
          <w:tcPr>
            <w:tcW w:w="1812" w:type="dxa"/>
          </w:tcPr>
          <w:p w14:paraId="35705D66"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$484.7m</w:t>
            </w:r>
          </w:p>
        </w:tc>
        <w:tc>
          <w:tcPr>
            <w:tcW w:w="1812" w:type="dxa"/>
          </w:tcPr>
          <w:p w14:paraId="32BBD8A3"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$1.1b</w:t>
            </w:r>
          </w:p>
        </w:tc>
      </w:tr>
      <w:tr w:rsidR="00371A85" w14:paraId="22766CBD" w14:textId="77777777" w:rsidTr="00655467">
        <w:tc>
          <w:tcPr>
            <w:tcW w:w="1812" w:type="dxa"/>
          </w:tcPr>
          <w:p w14:paraId="2CB386C7" w14:textId="77777777" w:rsidR="00371A85" w:rsidRPr="00250176" w:rsidRDefault="00371A85" w:rsidP="00655467">
            <w:pPr>
              <w:jc w:val="left"/>
              <w:rPr>
                <w:rFonts w:ascii="Arial" w:eastAsiaTheme="majorEastAsia" w:hAnsi="Arial" w:cs="Arial"/>
                <w:b/>
                <w:szCs w:val="24"/>
              </w:rPr>
            </w:pPr>
            <w:r>
              <w:rPr>
                <w:rFonts w:ascii="Arial" w:eastAsiaTheme="majorEastAsia" w:hAnsi="Arial" w:cs="Arial"/>
                <w:b/>
                <w:szCs w:val="24"/>
              </w:rPr>
              <w:t>Total Equity</w:t>
            </w:r>
          </w:p>
        </w:tc>
        <w:tc>
          <w:tcPr>
            <w:tcW w:w="1812" w:type="dxa"/>
          </w:tcPr>
          <w:p w14:paraId="7E463AF5"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$1.3b</w:t>
            </w:r>
          </w:p>
        </w:tc>
        <w:tc>
          <w:tcPr>
            <w:tcW w:w="1812" w:type="dxa"/>
          </w:tcPr>
          <w:p w14:paraId="6750D1D2"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$1.2b</w:t>
            </w:r>
          </w:p>
        </w:tc>
        <w:tc>
          <w:tcPr>
            <w:tcW w:w="1812" w:type="dxa"/>
          </w:tcPr>
          <w:p w14:paraId="228E5935"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$66.3m</w:t>
            </w:r>
          </w:p>
        </w:tc>
        <w:tc>
          <w:tcPr>
            <w:tcW w:w="1812" w:type="dxa"/>
          </w:tcPr>
          <w:p w14:paraId="4A00F9A8"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$282.1m*</w:t>
            </w:r>
          </w:p>
        </w:tc>
      </w:tr>
      <w:tr w:rsidR="00371A85" w14:paraId="3E85B1D3" w14:textId="77777777" w:rsidTr="00655467">
        <w:tc>
          <w:tcPr>
            <w:tcW w:w="1812" w:type="dxa"/>
          </w:tcPr>
          <w:p w14:paraId="343645CF" w14:textId="77777777" w:rsidR="00371A85" w:rsidRPr="00250176" w:rsidRDefault="00371A85" w:rsidP="00655467">
            <w:pPr>
              <w:jc w:val="left"/>
              <w:rPr>
                <w:rFonts w:ascii="Arial" w:eastAsiaTheme="majorEastAsia" w:hAnsi="Arial" w:cs="Arial"/>
                <w:b/>
                <w:szCs w:val="24"/>
              </w:rPr>
            </w:pPr>
            <w:r>
              <w:rPr>
                <w:rFonts w:ascii="Arial" w:eastAsiaTheme="majorEastAsia" w:hAnsi="Arial" w:cs="Arial"/>
                <w:b/>
                <w:szCs w:val="24"/>
              </w:rPr>
              <w:t>Solvency</w:t>
            </w:r>
          </w:p>
        </w:tc>
        <w:tc>
          <w:tcPr>
            <w:tcW w:w="1812" w:type="dxa"/>
          </w:tcPr>
          <w:p w14:paraId="2120E40D"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130.7%</w:t>
            </w:r>
          </w:p>
        </w:tc>
        <w:tc>
          <w:tcPr>
            <w:tcW w:w="1812" w:type="dxa"/>
          </w:tcPr>
          <w:p w14:paraId="05D99600"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143.1%</w:t>
            </w:r>
          </w:p>
        </w:tc>
        <w:tc>
          <w:tcPr>
            <w:tcW w:w="1812" w:type="dxa"/>
          </w:tcPr>
          <w:p w14:paraId="075C3839"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115.8%</w:t>
            </w:r>
          </w:p>
        </w:tc>
        <w:tc>
          <w:tcPr>
            <w:tcW w:w="1812" w:type="dxa"/>
          </w:tcPr>
          <w:p w14:paraId="77E59B5A" w14:textId="77777777" w:rsidR="00371A85" w:rsidRDefault="00371A85" w:rsidP="00655467">
            <w:pPr>
              <w:jc w:val="left"/>
              <w:rPr>
                <w:rFonts w:ascii="Arial" w:eastAsiaTheme="majorEastAsia" w:hAnsi="Arial" w:cs="Arial"/>
                <w:szCs w:val="24"/>
              </w:rPr>
            </w:pPr>
            <w:r>
              <w:rPr>
                <w:rFonts w:ascii="Arial" w:eastAsiaTheme="majorEastAsia" w:hAnsi="Arial" w:cs="Arial"/>
                <w:szCs w:val="24"/>
              </w:rPr>
              <w:t>135%*</w:t>
            </w:r>
          </w:p>
        </w:tc>
      </w:tr>
      <w:tr w:rsidR="00371A85" w14:paraId="5F314A6B" w14:textId="77777777" w:rsidTr="00655467">
        <w:tc>
          <w:tcPr>
            <w:tcW w:w="9060" w:type="dxa"/>
            <w:gridSpan w:val="5"/>
          </w:tcPr>
          <w:p w14:paraId="2A03B54F" w14:textId="77777777" w:rsidR="00371A85" w:rsidRDefault="00371A85" w:rsidP="00655467">
            <w:pPr>
              <w:jc w:val="left"/>
              <w:rPr>
                <w:rFonts w:ascii="Arial" w:eastAsiaTheme="majorEastAsia" w:hAnsi="Arial" w:cs="Arial"/>
                <w:szCs w:val="24"/>
              </w:rPr>
            </w:pPr>
            <w:r w:rsidRPr="00250176">
              <w:rPr>
                <w:rFonts w:ascii="Arial" w:eastAsiaTheme="majorEastAsia" w:hAnsi="Arial" w:cs="Arial"/>
                <w:szCs w:val="24"/>
              </w:rPr>
              <w:t>See the Financial Statements for the performance of other Funds.</w:t>
            </w:r>
          </w:p>
          <w:p w14:paraId="6B4F6061" w14:textId="77777777" w:rsidR="00371A85" w:rsidRPr="00250176" w:rsidRDefault="00371A85" w:rsidP="00655467">
            <w:pPr>
              <w:jc w:val="left"/>
              <w:rPr>
                <w:rFonts w:ascii="Arial" w:eastAsiaTheme="majorEastAsia" w:hAnsi="Arial" w:cs="Arial"/>
                <w:szCs w:val="24"/>
              </w:rPr>
            </w:pPr>
            <w:r>
              <w:rPr>
                <w:rFonts w:ascii="Arial" w:eastAsiaTheme="majorEastAsia" w:hAnsi="Arial" w:cs="Arial"/>
                <w:szCs w:val="24"/>
              </w:rPr>
              <w:t>*</w:t>
            </w:r>
            <w:proofErr w:type="spellStart"/>
            <w:r>
              <w:rPr>
                <w:rFonts w:ascii="Arial" w:eastAsiaTheme="majorEastAsia" w:hAnsi="Arial" w:cs="Arial"/>
                <w:szCs w:val="24"/>
              </w:rPr>
              <w:t>RiskCover’s</w:t>
            </w:r>
            <w:proofErr w:type="spellEnd"/>
            <w:r>
              <w:rPr>
                <w:rFonts w:ascii="Arial" w:eastAsiaTheme="majorEastAsia" w:hAnsi="Arial" w:cs="Arial"/>
                <w:szCs w:val="24"/>
              </w:rPr>
              <w:t xml:space="preserve"> Total Equity was $444.4 million with a Solvency Level of 169% prior to the provision for a Return of Capital of $162.3 million.</w:t>
            </w:r>
          </w:p>
        </w:tc>
      </w:tr>
    </w:tbl>
    <w:p w14:paraId="0100DB58" w14:textId="77777777" w:rsidR="00371A85" w:rsidRDefault="00371A85" w:rsidP="00371A85">
      <w:pPr>
        <w:jc w:val="left"/>
        <w:rPr>
          <w:rFonts w:ascii="Arial" w:eastAsiaTheme="majorEastAsia" w:hAnsi="Arial" w:cs="Arial"/>
          <w:szCs w:val="24"/>
        </w:rPr>
      </w:pPr>
    </w:p>
    <w:p w14:paraId="18EB64BC" w14:textId="77777777" w:rsidR="00371A85" w:rsidRPr="001A4738" w:rsidRDefault="00371A85" w:rsidP="00371A85">
      <w:pPr>
        <w:pStyle w:val="ARHeading3"/>
      </w:pPr>
      <w:r>
        <w:t>Customers</w:t>
      </w:r>
    </w:p>
    <w:p w14:paraId="198448C2" w14:textId="77777777" w:rsidR="00371A85" w:rsidRDefault="00371A85" w:rsidP="00371A85">
      <w:pPr>
        <w:jc w:val="left"/>
        <w:rPr>
          <w:rFonts w:ascii="Arial" w:eastAsiaTheme="majorEastAsia" w:hAnsi="Arial" w:cs="Arial"/>
          <w:szCs w:val="24"/>
        </w:rPr>
      </w:pPr>
      <w:r>
        <w:rPr>
          <w:rFonts w:ascii="Arial" w:eastAsiaTheme="majorEastAsia" w:hAnsi="Arial" w:cs="Arial"/>
          <w:b/>
          <w:szCs w:val="24"/>
        </w:rPr>
        <w:t xml:space="preserve">2,885,603 </w:t>
      </w:r>
      <w:r>
        <w:rPr>
          <w:rFonts w:ascii="Arial" w:eastAsiaTheme="majorEastAsia" w:hAnsi="Arial" w:cs="Arial"/>
          <w:szCs w:val="24"/>
        </w:rPr>
        <w:t>total insured vehicles</w:t>
      </w:r>
    </w:p>
    <w:p w14:paraId="02E7EBE5" w14:textId="77777777" w:rsidR="00371A85" w:rsidRDefault="00371A85" w:rsidP="00371A85">
      <w:pPr>
        <w:jc w:val="left"/>
        <w:rPr>
          <w:rFonts w:ascii="Arial" w:eastAsiaTheme="majorEastAsia" w:hAnsi="Arial" w:cs="Arial"/>
          <w:szCs w:val="24"/>
        </w:rPr>
      </w:pPr>
      <w:r>
        <w:rPr>
          <w:rFonts w:ascii="Arial" w:eastAsiaTheme="majorEastAsia" w:hAnsi="Arial" w:cs="Arial"/>
          <w:b/>
          <w:szCs w:val="24"/>
        </w:rPr>
        <w:t>1,836,702</w:t>
      </w:r>
      <w:r>
        <w:rPr>
          <w:rFonts w:ascii="Arial" w:eastAsiaTheme="majorEastAsia" w:hAnsi="Arial" w:cs="Arial"/>
          <w:szCs w:val="24"/>
        </w:rPr>
        <w:t xml:space="preserve"> total insured drivers</w:t>
      </w:r>
    </w:p>
    <w:p w14:paraId="16516EDF" w14:textId="77777777" w:rsidR="00371A85" w:rsidRDefault="00371A85" w:rsidP="00371A85">
      <w:pPr>
        <w:jc w:val="left"/>
        <w:rPr>
          <w:rFonts w:ascii="Arial" w:eastAsiaTheme="majorEastAsia" w:hAnsi="Arial" w:cs="Arial"/>
          <w:szCs w:val="24"/>
        </w:rPr>
      </w:pPr>
      <w:r>
        <w:rPr>
          <w:rFonts w:ascii="Arial" w:eastAsiaTheme="majorEastAsia" w:hAnsi="Arial" w:cs="Arial"/>
          <w:b/>
          <w:szCs w:val="24"/>
        </w:rPr>
        <w:t xml:space="preserve">111 </w:t>
      </w:r>
      <w:r>
        <w:rPr>
          <w:rFonts w:ascii="Arial" w:eastAsiaTheme="majorEastAsia" w:hAnsi="Arial" w:cs="Arial"/>
          <w:szCs w:val="24"/>
        </w:rPr>
        <w:t>total government agencies covered</w:t>
      </w:r>
    </w:p>
    <w:p w14:paraId="4D172576" w14:textId="77777777" w:rsidR="00371A85" w:rsidRDefault="00371A85" w:rsidP="00371A85">
      <w:pPr>
        <w:jc w:val="left"/>
        <w:rPr>
          <w:rFonts w:ascii="Arial" w:eastAsiaTheme="majorEastAsia" w:hAnsi="Arial" w:cs="Arial"/>
          <w:szCs w:val="24"/>
        </w:rPr>
      </w:pPr>
      <w:r>
        <w:rPr>
          <w:rFonts w:ascii="Arial" w:eastAsiaTheme="majorEastAsia" w:hAnsi="Arial" w:cs="Arial"/>
          <w:b/>
          <w:szCs w:val="24"/>
        </w:rPr>
        <w:t>119,054</w:t>
      </w:r>
      <w:r>
        <w:rPr>
          <w:rFonts w:ascii="Arial" w:eastAsiaTheme="majorEastAsia" w:hAnsi="Arial" w:cs="Arial"/>
          <w:szCs w:val="24"/>
        </w:rPr>
        <w:t xml:space="preserve"> total government employees covered</w:t>
      </w:r>
    </w:p>
    <w:p w14:paraId="0C04FACC" w14:textId="77777777" w:rsidR="00371A85" w:rsidRDefault="00371A85" w:rsidP="00371A85">
      <w:pPr>
        <w:jc w:val="left"/>
        <w:rPr>
          <w:rFonts w:ascii="Arial" w:eastAsiaTheme="majorEastAsia" w:hAnsi="Arial" w:cs="Arial"/>
          <w:szCs w:val="24"/>
        </w:rPr>
      </w:pPr>
      <w:r>
        <w:rPr>
          <w:rFonts w:ascii="Arial" w:eastAsiaTheme="majorEastAsia" w:hAnsi="Arial" w:cs="Arial"/>
          <w:b/>
          <w:szCs w:val="24"/>
        </w:rPr>
        <w:t>$46</w:t>
      </w:r>
      <w:r w:rsidRPr="001A4738">
        <w:rPr>
          <w:rFonts w:ascii="Arial" w:eastAsiaTheme="majorEastAsia" w:hAnsi="Arial" w:cs="Arial"/>
          <w:b/>
          <w:szCs w:val="24"/>
        </w:rPr>
        <w:t>b</w:t>
      </w:r>
      <w:r>
        <w:rPr>
          <w:rFonts w:ascii="Arial" w:eastAsiaTheme="majorEastAsia" w:hAnsi="Arial" w:cs="Arial"/>
          <w:b/>
          <w:szCs w:val="24"/>
        </w:rPr>
        <w:t xml:space="preserve"> </w:t>
      </w:r>
      <w:r>
        <w:rPr>
          <w:rFonts w:ascii="Arial" w:eastAsiaTheme="majorEastAsia" w:hAnsi="Arial" w:cs="Arial"/>
          <w:szCs w:val="24"/>
        </w:rPr>
        <w:t>total value of government assets covered</w:t>
      </w:r>
    </w:p>
    <w:p w14:paraId="36161484" w14:textId="77777777" w:rsidR="00371A85" w:rsidRDefault="00371A85" w:rsidP="00371A85">
      <w:pPr>
        <w:jc w:val="left"/>
        <w:rPr>
          <w:rFonts w:ascii="Arial" w:eastAsiaTheme="majorEastAsia" w:hAnsi="Arial" w:cs="Arial"/>
          <w:szCs w:val="24"/>
        </w:rPr>
      </w:pPr>
    </w:p>
    <w:p w14:paraId="081DCC78" w14:textId="77777777" w:rsidR="00371A85" w:rsidRDefault="00371A85" w:rsidP="00371A85">
      <w:pPr>
        <w:pStyle w:val="ARHeading3"/>
      </w:pPr>
      <w:r w:rsidRPr="001A4738">
        <w:t>Insurance Claims</w:t>
      </w:r>
    </w:p>
    <w:p w14:paraId="7A39DA20" w14:textId="77777777" w:rsidR="00371A85" w:rsidRDefault="00371A85" w:rsidP="00371A85">
      <w:pPr>
        <w:jc w:val="left"/>
        <w:rPr>
          <w:rFonts w:ascii="Arial" w:eastAsiaTheme="majorEastAsia" w:hAnsi="Arial" w:cs="Arial"/>
          <w:szCs w:val="24"/>
        </w:rPr>
      </w:pPr>
      <w:proofErr w:type="gramStart"/>
      <w:r>
        <w:rPr>
          <w:rFonts w:ascii="Arial" w:eastAsiaTheme="majorEastAsia" w:hAnsi="Arial" w:cs="Arial"/>
          <w:szCs w:val="24"/>
        </w:rPr>
        <w:t>including</w:t>
      </w:r>
      <w:proofErr w:type="gramEnd"/>
      <w:r>
        <w:rPr>
          <w:rFonts w:ascii="Arial" w:eastAsiaTheme="majorEastAsia" w:hAnsi="Arial" w:cs="Arial"/>
          <w:szCs w:val="24"/>
        </w:rPr>
        <w:t xml:space="preserve"> RiskCover</w:t>
      </w:r>
    </w:p>
    <w:p w14:paraId="18720938" w14:textId="77777777" w:rsidR="00371A85" w:rsidRDefault="00371A85" w:rsidP="00371A85">
      <w:pPr>
        <w:jc w:val="left"/>
        <w:rPr>
          <w:rFonts w:ascii="Arial" w:eastAsiaTheme="majorEastAsia" w:hAnsi="Arial" w:cs="Arial"/>
          <w:szCs w:val="24"/>
        </w:rPr>
      </w:pPr>
      <w:r>
        <w:rPr>
          <w:rFonts w:ascii="Arial" w:eastAsiaTheme="majorEastAsia" w:hAnsi="Arial" w:cs="Arial"/>
          <w:b/>
          <w:szCs w:val="24"/>
        </w:rPr>
        <w:t>32,426</w:t>
      </w:r>
      <w:r>
        <w:rPr>
          <w:rFonts w:ascii="Arial" w:eastAsiaTheme="majorEastAsia" w:hAnsi="Arial" w:cs="Arial"/>
          <w:szCs w:val="24"/>
        </w:rPr>
        <w:t xml:space="preserve"> total new claims</w:t>
      </w:r>
    </w:p>
    <w:p w14:paraId="69D86C1A" w14:textId="77777777" w:rsidR="00371A85" w:rsidRPr="00BC33E7" w:rsidRDefault="00371A85" w:rsidP="00371A85">
      <w:pPr>
        <w:jc w:val="left"/>
        <w:rPr>
          <w:rFonts w:ascii="Arial" w:eastAsiaTheme="majorEastAsia" w:hAnsi="Arial" w:cs="Arial"/>
          <w:szCs w:val="24"/>
        </w:rPr>
      </w:pPr>
      <w:r w:rsidRPr="001A4738">
        <w:rPr>
          <w:rFonts w:ascii="Arial" w:eastAsiaTheme="majorEastAsia" w:hAnsi="Arial" w:cs="Arial"/>
          <w:b/>
          <w:szCs w:val="24"/>
        </w:rPr>
        <w:t>$</w:t>
      </w:r>
      <w:r>
        <w:rPr>
          <w:rFonts w:ascii="Arial" w:eastAsiaTheme="majorEastAsia" w:hAnsi="Arial" w:cs="Arial"/>
          <w:b/>
          <w:szCs w:val="24"/>
        </w:rPr>
        <w:t>628.3</w:t>
      </w:r>
      <w:r>
        <w:rPr>
          <w:rFonts w:ascii="Arial" w:eastAsiaTheme="majorEastAsia" w:hAnsi="Arial" w:cs="Arial"/>
          <w:szCs w:val="24"/>
        </w:rPr>
        <w:t>m total paid</w:t>
      </w:r>
    </w:p>
    <w:p w14:paraId="2EB81B94" w14:textId="77777777" w:rsidR="00371A85" w:rsidRDefault="00371A85" w:rsidP="00371A85">
      <w:pPr>
        <w:jc w:val="left"/>
        <w:rPr>
          <w:rFonts w:ascii="Arial" w:eastAsiaTheme="majorEastAsia" w:hAnsi="Arial" w:cs="Arial"/>
          <w:b/>
          <w:sz w:val="28"/>
          <w:szCs w:val="28"/>
        </w:rPr>
      </w:pPr>
    </w:p>
    <w:p w14:paraId="6806D973" w14:textId="77777777" w:rsidR="00371A85" w:rsidRPr="001A4738" w:rsidRDefault="00371A85" w:rsidP="00371A85">
      <w:pPr>
        <w:pStyle w:val="ARHeading3"/>
      </w:pPr>
      <w:r w:rsidRPr="001A4738">
        <w:t>Contribution to the State</w:t>
      </w:r>
      <w:r>
        <w:t xml:space="preserve"> in 2018</w:t>
      </w:r>
    </w:p>
    <w:p w14:paraId="69D10510" w14:textId="77777777" w:rsidR="00371A85" w:rsidRDefault="00371A85" w:rsidP="00371A85">
      <w:pPr>
        <w:jc w:val="left"/>
        <w:rPr>
          <w:rFonts w:ascii="Arial" w:eastAsiaTheme="majorEastAsia" w:hAnsi="Arial" w:cs="Arial"/>
          <w:szCs w:val="24"/>
        </w:rPr>
      </w:pPr>
      <w:r>
        <w:rPr>
          <w:rFonts w:ascii="Arial" w:eastAsiaTheme="majorEastAsia" w:hAnsi="Arial" w:cs="Arial"/>
          <w:szCs w:val="24"/>
        </w:rPr>
        <w:t>Net Debt Reduction - $498.7m</w:t>
      </w:r>
    </w:p>
    <w:p w14:paraId="12BC336C" w14:textId="77777777" w:rsidR="00371A85" w:rsidRDefault="00371A85" w:rsidP="00371A85">
      <w:pPr>
        <w:jc w:val="left"/>
        <w:rPr>
          <w:rFonts w:ascii="Arial" w:eastAsiaTheme="majorEastAsia" w:hAnsi="Arial" w:cs="Arial"/>
          <w:szCs w:val="24"/>
        </w:rPr>
      </w:pPr>
      <w:r>
        <w:rPr>
          <w:rFonts w:ascii="Arial" w:eastAsiaTheme="majorEastAsia" w:hAnsi="Arial" w:cs="Arial"/>
          <w:szCs w:val="24"/>
        </w:rPr>
        <w:t>RiskCover Return of Capital+ - $97.7m</w:t>
      </w:r>
    </w:p>
    <w:p w14:paraId="590D6C55" w14:textId="77777777" w:rsidR="00371A85" w:rsidRDefault="00371A85" w:rsidP="00371A85">
      <w:pPr>
        <w:jc w:val="left"/>
        <w:rPr>
          <w:rFonts w:ascii="Arial" w:eastAsiaTheme="majorEastAsia" w:hAnsi="Arial" w:cs="Arial"/>
          <w:szCs w:val="24"/>
        </w:rPr>
      </w:pPr>
      <w:r>
        <w:rPr>
          <w:rFonts w:ascii="Arial" w:eastAsiaTheme="majorEastAsia" w:hAnsi="Arial" w:cs="Arial"/>
          <w:szCs w:val="24"/>
        </w:rPr>
        <w:t>Tax Paid - $40.7m</w:t>
      </w:r>
    </w:p>
    <w:p w14:paraId="7301D843" w14:textId="77777777" w:rsidR="00371A85" w:rsidRDefault="00371A85" w:rsidP="00371A85">
      <w:pPr>
        <w:jc w:val="left"/>
        <w:rPr>
          <w:rFonts w:ascii="Arial" w:eastAsiaTheme="majorEastAsia" w:hAnsi="Arial" w:cs="Arial"/>
          <w:szCs w:val="24"/>
        </w:rPr>
      </w:pPr>
      <w:r>
        <w:rPr>
          <w:rFonts w:ascii="Arial" w:eastAsiaTheme="majorEastAsia" w:hAnsi="Arial" w:cs="Arial"/>
          <w:szCs w:val="24"/>
        </w:rPr>
        <w:t>Dividends* - $149.3m</w:t>
      </w:r>
    </w:p>
    <w:p w14:paraId="28D264F2" w14:textId="77777777" w:rsidR="00371A85" w:rsidRDefault="00371A85" w:rsidP="00371A85">
      <w:pPr>
        <w:jc w:val="left"/>
        <w:rPr>
          <w:rFonts w:ascii="Arial" w:eastAsiaTheme="majorEastAsia" w:hAnsi="Arial" w:cs="Arial"/>
          <w:szCs w:val="24"/>
        </w:rPr>
      </w:pPr>
      <w:r>
        <w:rPr>
          <w:rFonts w:ascii="Arial" w:eastAsiaTheme="majorEastAsia" w:hAnsi="Arial" w:cs="Arial"/>
          <w:szCs w:val="24"/>
        </w:rPr>
        <w:t>Insurance Duty - $84.8m</w:t>
      </w:r>
    </w:p>
    <w:p w14:paraId="2A777341" w14:textId="77777777" w:rsidR="00371A85" w:rsidRDefault="00371A85" w:rsidP="00371A85">
      <w:pPr>
        <w:jc w:val="left"/>
        <w:rPr>
          <w:rFonts w:ascii="Arial" w:eastAsiaTheme="majorEastAsia" w:hAnsi="Arial" w:cs="Arial"/>
          <w:szCs w:val="24"/>
        </w:rPr>
      </w:pPr>
    </w:p>
    <w:p w14:paraId="438D4833" w14:textId="77777777" w:rsidR="00371A85" w:rsidRDefault="00371A85" w:rsidP="00371A85">
      <w:pPr>
        <w:jc w:val="left"/>
        <w:rPr>
          <w:rFonts w:ascii="Arial" w:eastAsiaTheme="majorEastAsia" w:hAnsi="Arial" w:cs="Arial"/>
          <w:szCs w:val="24"/>
        </w:rPr>
      </w:pPr>
      <w:r w:rsidRPr="00170BE0">
        <w:rPr>
          <w:rFonts w:ascii="Arial" w:eastAsiaTheme="majorEastAsia" w:hAnsi="Arial" w:cs="Arial"/>
          <w:szCs w:val="24"/>
        </w:rPr>
        <w:t>+</w:t>
      </w:r>
      <w:r>
        <w:rPr>
          <w:rFonts w:ascii="Arial" w:eastAsiaTheme="majorEastAsia" w:hAnsi="Arial" w:cs="Arial"/>
          <w:szCs w:val="24"/>
        </w:rPr>
        <w:t>RiskCover Return of Capital</w:t>
      </w:r>
      <w:r w:rsidRPr="00170BE0">
        <w:rPr>
          <w:rFonts w:ascii="Arial" w:eastAsiaTheme="majorEastAsia" w:hAnsi="Arial" w:cs="Arial"/>
          <w:szCs w:val="24"/>
        </w:rPr>
        <w:t xml:space="preserve"> in respect to 2017.</w:t>
      </w:r>
    </w:p>
    <w:p w14:paraId="1E17A03A" w14:textId="77777777" w:rsidR="00371A85" w:rsidRDefault="00371A85" w:rsidP="00371A85">
      <w:pPr>
        <w:jc w:val="left"/>
        <w:rPr>
          <w:rFonts w:ascii="Arial" w:eastAsiaTheme="majorEastAsia" w:hAnsi="Arial" w:cs="Arial"/>
          <w:szCs w:val="24"/>
        </w:rPr>
      </w:pPr>
      <w:r>
        <w:rPr>
          <w:rFonts w:ascii="Arial" w:eastAsiaTheme="majorEastAsia" w:hAnsi="Arial" w:cs="Arial"/>
          <w:szCs w:val="24"/>
        </w:rPr>
        <w:t>*Interim and Special Dividends paid from the Third Party Insurance Fund for 2018 performance.</w:t>
      </w:r>
    </w:p>
    <w:p w14:paraId="0B6A806E" w14:textId="77777777" w:rsidR="00371A85" w:rsidRPr="00983F6F" w:rsidRDefault="00371A85" w:rsidP="00371A85">
      <w:pPr>
        <w:pStyle w:val="ARHeading1"/>
      </w:pPr>
      <w:bookmarkStart w:id="5" w:name="_Toc458802729"/>
      <w:bookmarkStart w:id="6" w:name="_Toc524709381"/>
      <w:r>
        <w:lastRenderedPageBreak/>
        <w:t>2.</w:t>
      </w:r>
      <w:r>
        <w:tab/>
      </w:r>
      <w:r w:rsidRPr="00983F6F">
        <w:t>Overview</w:t>
      </w:r>
      <w:bookmarkEnd w:id="5"/>
      <w:bookmarkEnd w:id="6"/>
      <w:r w:rsidR="00655467">
        <w:br/>
      </w:r>
    </w:p>
    <w:p w14:paraId="0FCDA7A6" w14:textId="77777777" w:rsidR="009A7694" w:rsidRPr="009A7694" w:rsidRDefault="009A7694" w:rsidP="009A7694">
      <w:pPr>
        <w:pStyle w:val="ARHeading2"/>
      </w:pPr>
      <w:bookmarkStart w:id="7" w:name="_Toc390680562"/>
      <w:bookmarkStart w:id="8" w:name="_Toc458802731"/>
      <w:bookmarkStart w:id="9" w:name="_Toc524709382"/>
      <w:r w:rsidRPr="009A7694">
        <w:t>2.1</w:t>
      </w:r>
      <w:r w:rsidR="00371A85" w:rsidRPr="009A7694">
        <w:tab/>
        <w:t>What We Do</w:t>
      </w:r>
      <w:bookmarkEnd w:id="7"/>
      <w:bookmarkEnd w:id="8"/>
      <w:bookmarkEnd w:id="9"/>
      <w:r w:rsidR="00655467">
        <w:br/>
      </w:r>
    </w:p>
    <w:p w14:paraId="5FA53ACF" w14:textId="77777777" w:rsidR="00371A85" w:rsidRPr="00983F6F" w:rsidRDefault="00371A85" w:rsidP="00371A85">
      <w:pPr>
        <w:jc w:val="left"/>
        <w:rPr>
          <w:rFonts w:ascii="Arial" w:hAnsi="Arial" w:cs="Arial"/>
        </w:rPr>
      </w:pPr>
      <w:r w:rsidRPr="00983F6F">
        <w:rPr>
          <w:rFonts w:ascii="Arial" w:hAnsi="Arial" w:cs="Arial"/>
        </w:rPr>
        <w:t>The Insurance Commission is primarily responsible for:</w:t>
      </w:r>
    </w:p>
    <w:p w14:paraId="60CDF72E" w14:textId="77777777" w:rsidR="00371A85" w:rsidRPr="00983F6F" w:rsidRDefault="00371A85" w:rsidP="00371A85">
      <w:pPr>
        <w:pStyle w:val="ListParagraph"/>
        <w:numPr>
          <w:ilvl w:val="0"/>
          <w:numId w:val="3"/>
        </w:numPr>
        <w:tabs>
          <w:tab w:val="left" w:pos="0"/>
        </w:tabs>
        <w:rPr>
          <w:rFonts w:ascii="Arial" w:hAnsi="Arial" w:cs="Arial"/>
        </w:rPr>
      </w:pPr>
      <w:r w:rsidRPr="00983F6F">
        <w:rPr>
          <w:rFonts w:ascii="Arial" w:hAnsi="Arial" w:cs="Arial"/>
        </w:rPr>
        <w:t>underwriting and managing motor injury insurance;</w:t>
      </w:r>
    </w:p>
    <w:p w14:paraId="589093B3" w14:textId="77777777" w:rsidR="00371A85" w:rsidRPr="00983F6F" w:rsidRDefault="00371A85" w:rsidP="00371A85">
      <w:pPr>
        <w:pStyle w:val="ListParagraph"/>
        <w:numPr>
          <w:ilvl w:val="0"/>
          <w:numId w:val="3"/>
        </w:numPr>
        <w:tabs>
          <w:tab w:val="left" w:pos="0"/>
        </w:tabs>
        <w:rPr>
          <w:rFonts w:ascii="Arial" w:hAnsi="Arial" w:cs="Arial"/>
        </w:rPr>
      </w:pPr>
      <w:r w:rsidRPr="00983F6F">
        <w:rPr>
          <w:rFonts w:ascii="Arial" w:hAnsi="Arial" w:cs="Arial"/>
        </w:rPr>
        <w:t>managing RiskCover, the self-insurance arrangements for Government assets and employees;</w:t>
      </w:r>
    </w:p>
    <w:p w14:paraId="3D7F1AC3" w14:textId="77777777" w:rsidR="00371A85" w:rsidRPr="00983F6F" w:rsidRDefault="00371A85" w:rsidP="00371A85">
      <w:pPr>
        <w:pStyle w:val="ListParagraph"/>
        <w:numPr>
          <w:ilvl w:val="0"/>
          <w:numId w:val="3"/>
        </w:numPr>
        <w:tabs>
          <w:tab w:val="left" w:pos="0"/>
        </w:tabs>
        <w:rPr>
          <w:rFonts w:ascii="Arial" w:hAnsi="Arial" w:cs="Arial"/>
        </w:rPr>
      </w:pPr>
      <w:r w:rsidRPr="00983F6F">
        <w:rPr>
          <w:rFonts w:ascii="Arial" w:hAnsi="Arial" w:cs="Arial"/>
        </w:rPr>
        <w:t>investing and managing funds to provide assets to meet insurance liabilities; and</w:t>
      </w:r>
    </w:p>
    <w:p w14:paraId="5032716C" w14:textId="77777777" w:rsidR="00371A85" w:rsidRPr="00983F6F" w:rsidRDefault="00371A85" w:rsidP="00371A85">
      <w:pPr>
        <w:pStyle w:val="ListParagraph"/>
        <w:numPr>
          <w:ilvl w:val="0"/>
          <w:numId w:val="3"/>
        </w:numPr>
        <w:tabs>
          <w:tab w:val="left" w:pos="0"/>
        </w:tabs>
        <w:rPr>
          <w:rFonts w:ascii="Arial" w:hAnsi="Arial" w:cs="Arial"/>
        </w:rPr>
      </w:pPr>
      <w:proofErr w:type="gramStart"/>
      <w:r w:rsidRPr="00983F6F">
        <w:rPr>
          <w:rFonts w:ascii="Arial" w:hAnsi="Arial" w:cs="Arial"/>
        </w:rPr>
        <w:t>advising</w:t>
      </w:r>
      <w:proofErr w:type="gramEnd"/>
      <w:r w:rsidRPr="00983F6F">
        <w:rPr>
          <w:rFonts w:ascii="Arial" w:hAnsi="Arial" w:cs="Arial"/>
        </w:rPr>
        <w:t xml:space="preserve"> Government about insurance matters. </w:t>
      </w:r>
    </w:p>
    <w:p w14:paraId="3A361A1F" w14:textId="77777777" w:rsidR="00371A85" w:rsidRPr="00983F6F" w:rsidRDefault="00371A85" w:rsidP="00371A85">
      <w:pPr>
        <w:jc w:val="left"/>
        <w:rPr>
          <w:rFonts w:ascii="Arial" w:hAnsi="Arial" w:cs="Arial"/>
        </w:rPr>
      </w:pPr>
    </w:p>
    <w:p w14:paraId="4894E197" w14:textId="77777777" w:rsidR="00371A85" w:rsidRPr="00983F6F" w:rsidRDefault="00371A85" w:rsidP="00371A85">
      <w:pPr>
        <w:jc w:val="left"/>
        <w:rPr>
          <w:rFonts w:ascii="Arial" w:hAnsi="Arial" w:cs="Arial"/>
        </w:rPr>
      </w:pPr>
      <w:r w:rsidRPr="00983F6F">
        <w:rPr>
          <w:rFonts w:ascii="Arial" w:hAnsi="Arial" w:cs="Arial"/>
        </w:rPr>
        <w:t xml:space="preserve">The Insurance Commission manages and underwrites the following: </w:t>
      </w:r>
    </w:p>
    <w:p w14:paraId="129F3EE4" w14:textId="77777777" w:rsidR="00371A85" w:rsidRPr="00983F6F" w:rsidRDefault="00371A85" w:rsidP="00371A85">
      <w:pPr>
        <w:pStyle w:val="ListParagraph"/>
        <w:numPr>
          <w:ilvl w:val="0"/>
          <w:numId w:val="4"/>
        </w:numPr>
        <w:rPr>
          <w:rFonts w:ascii="Arial" w:hAnsi="Arial" w:cs="Arial"/>
        </w:rPr>
      </w:pPr>
      <w:r w:rsidRPr="00983F6F">
        <w:rPr>
          <w:rFonts w:ascii="Arial" w:hAnsi="Arial" w:cs="Arial"/>
        </w:rPr>
        <w:t>Third Party Insurance Fund;</w:t>
      </w:r>
    </w:p>
    <w:p w14:paraId="023C6CED" w14:textId="77777777" w:rsidR="00371A85" w:rsidRPr="00983F6F" w:rsidRDefault="00371A85" w:rsidP="00371A85">
      <w:pPr>
        <w:pStyle w:val="ListParagraph"/>
        <w:numPr>
          <w:ilvl w:val="0"/>
          <w:numId w:val="4"/>
        </w:numPr>
        <w:rPr>
          <w:rFonts w:ascii="Arial" w:hAnsi="Arial" w:cs="Arial"/>
        </w:rPr>
      </w:pPr>
      <w:r w:rsidRPr="00983F6F">
        <w:rPr>
          <w:rFonts w:ascii="Arial" w:hAnsi="Arial" w:cs="Arial"/>
        </w:rPr>
        <w:t>Motor Vehicle (Catastrophic Injuries) Fund;</w:t>
      </w:r>
      <w:r>
        <w:rPr>
          <w:rFonts w:ascii="Arial" w:hAnsi="Arial" w:cs="Arial"/>
        </w:rPr>
        <w:t xml:space="preserve"> and</w:t>
      </w:r>
    </w:p>
    <w:p w14:paraId="632B6722" w14:textId="77777777" w:rsidR="00371A85" w:rsidRPr="00983F6F" w:rsidRDefault="00371A85" w:rsidP="00371A85">
      <w:pPr>
        <w:pStyle w:val="ListParagraph"/>
        <w:numPr>
          <w:ilvl w:val="0"/>
          <w:numId w:val="4"/>
        </w:numPr>
        <w:rPr>
          <w:rFonts w:ascii="Arial" w:hAnsi="Arial" w:cs="Arial"/>
        </w:rPr>
      </w:pPr>
      <w:r w:rsidRPr="00983F6F">
        <w:rPr>
          <w:rFonts w:ascii="Arial" w:hAnsi="Arial" w:cs="Arial"/>
        </w:rPr>
        <w:t>Compensation (Industrial Diseases) Fund.</w:t>
      </w:r>
    </w:p>
    <w:p w14:paraId="1320758C" w14:textId="77777777" w:rsidR="00371A85" w:rsidRPr="00983F6F" w:rsidRDefault="00371A85" w:rsidP="00371A85">
      <w:pPr>
        <w:jc w:val="left"/>
        <w:rPr>
          <w:rFonts w:ascii="Arial" w:hAnsi="Arial" w:cs="Arial"/>
        </w:rPr>
      </w:pPr>
    </w:p>
    <w:p w14:paraId="5F4A3F71" w14:textId="77777777" w:rsidR="00371A85" w:rsidRPr="00983F6F" w:rsidRDefault="00371A85" w:rsidP="00371A85">
      <w:pPr>
        <w:jc w:val="left"/>
        <w:rPr>
          <w:rFonts w:ascii="Arial" w:hAnsi="Arial" w:cs="Arial"/>
        </w:rPr>
      </w:pPr>
      <w:r w:rsidRPr="00983F6F">
        <w:rPr>
          <w:rFonts w:ascii="Arial" w:hAnsi="Arial" w:cs="Arial"/>
        </w:rPr>
        <w:t>The Insurance Commission also manages but does not underwrite the:</w:t>
      </w:r>
    </w:p>
    <w:p w14:paraId="3E70CC1C" w14:textId="77777777" w:rsidR="00371A85" w:rsidRDefault="00371A85" w:rsidP="00371A85">
      <w:pPr>
        <w:pStyle w:val="ListParagraph"/>
        <w:numPr>
          <w:ilvl w:val="0"/>
          <w:numId w:val="5"/>
        </w:numPr>
        <w:rPr>
          <w:rFonts w:ascii="Arial" w:hAnsi="Arial" w:cs="Arial"/>
        </w:rPr>
      </w:pPr>
      <w:r w:rsidRPr="00983F6F">
        <w:rPr>
          <w:rFonts w:ascii="Arial" w:hAnsi="Arial" w:cs="Arial"/>
        </w:rPr>
        <w:t>RiskCover Fund;</w:t>
      </w:r>
    </w:p>
    <w:p w14:paraId="085323E5" w14:textId="77777777" w:rsidR="00371A85" w:rsidRPr="00983F6F" w:rsidRDefault="00371A85" w:rsidP="00371A85">
      <w:pPr>
        <w:pStyle w:val="ListParagraph"/>
        <w:numPr>
          <w:ilvl w:val="0"/>
          <w:numId w:val="5"/>
        </w:numPr>
        <w:rPr>
          <w:rFonts w:ascii="Arial" w:hAnsi="Arial" w:cs="Arial"/>
        </w:rPr>
      </w:pPr>
      <w:r w:rsidRPr="00983F6F">
        <w:rPr>
          <w:rFonts w:ascii="Arial" w:hAnsi="Arial" w:cs="Arial"/>
        </w:rPr>
        <w:t xml:space="preserve">Insurance Commission General Fund; </w:t>
      </w:r>
    </w:p>
    <w:p w14:paraId="7894B3DF" w14:textId="77777777" w:rsidR="00371A85" w:rsidRPr="000B116A" w:rsidRDefault="00371A85" w:rsidP="00371A85">
      <w:pPr>
        <w:pStyle w:val="ListParagraph"/>
        <w:numPr>
          <w:ilvl w:val="0"/>
          <w:numId w:val="5"/>
        </w:numPr>
        <w:rPr>
          <w:rFonts w:ascii="Arial" w:hAnsi="Arial" w:cs="Arial"/>
        </w:rPr>
      </w:pPr>
      <w:r w:rsidRPr="00983F6F">
        <w:rPr>
          <w:rFonts w:ascii="Arial" w:hAnsi="Arial" w:cs="Arial"/>
        </w:rPr>
        <w:t>Government Insurance Fund;</w:t>
      </w:r>
    </w:p>
    <w:p w14:paraId="7BC56E3D" w14:textId="77777777" w:rsidR="00371A85" w:rsidRPr="00983F6F" w:rsidRDefault="00371A85" w:rsidP="00371A85">
      <w:pPr>
        <w:pStyle w:val="ListParagraph"/>
        <w:numPr>
          <w:ilvl w:val="0"/>
          <w:numId w:val="5"/>
        </w:numPr>
        <w:rPr>
          <w:rFonts w:ascii="Arial" w:hAnsi="Arial" w:cs="Arial"/>
        </w:rPr>
      </w:pPr>
      <w:r w:rsidRPr="00983F6F">
        <w:rPr>
          <w:rFonts w:ascii="Arial" w:hAnsi="Arial" w:cs="Arial"/>
        </w:rPr>
        <w:t>Employers’ Indemnity Supplementation Fund</w:t>
      </w:r>
      <w:r>
        <w:rPr>
          <w:rFonts w:ascii="Arial" w:hAnsi="Arial" w:cs="Arial"/>
        </w:rPr>
        <w:t xml:space="preserve"> (administers funds on behalf of WorkCover WA)</w:t>
      </w:r>
      <w:r w:rsidRPr="00983F6F">
        <w:rPr>
          <w:rFonts w:ascii="Arial" w:hAnsi="Arial" w:cs="Arial"/>
        </w:rPr>
        <w:t>;</w:t>
      </w:r>
    </w:p>
    <w:p w14:paraId="602320A8" w14:textId="77777777" w:rsidR="00371A85" w:rsidRPr="00983F6F" w:rsidRDefault="00371A85" w:rsidP="00371A85">
      <w:pPr>
        <w:pStyle w:val="ListParagraph"/>
        <w:numPr>
          <w:ilvl w:val="0"/>
          <w:numId w:val="5"/>
        </w:numPr>
        <w:rPr>
          <w:rFonts w:ascii="Arial" w:hAnsi="Arial" w:cs="Arial"/>
        </w:rPr>
      </w:pPr>
      <w:r w:rsidRPr="00983F6F">
        <w:rPr>
          <w:rFonts w:ascii="Arial" w:hAnsi="Arial" w:cs="Arial"/>
        </w:rPr>
        <w:t>Former Police Officers’ Medical Benefit Scheme; and</w:t>
      </w:r>
    </w:p>
    <w:p w14:paraId="3EA8A8AB" w14:textId="77777777" w:rsidR="00371A85" w:rsidRPr="00983F6F" w:rsidRDefault="00371A85" w:rsidP="00371A85">
      <w:pPr>
        <w:pStyle w:val="ListParagraph"/>
        <w:numPr>
          <w:ilvl w:val="0"/>
          <w:numId w:val="5"/>
        </w:numPr>
        <w:rPr>
          <w:rFonts w:ascii="Arial" w:hAnsi="Arial" w:cs="Arial"/>
        </w:rPr>
      </w:pPr>
      <w:r w:rsidRPr="00983F6F">
        <w:rPr>
          <w:rFonts w:ascii="Arial" w:hAnsi="Arial" w:cs="Arial"/>
        </w:rPr>
        <w:t>Indian Ocean Territories Motor Injury Insurance Scheme (on behalf of the Commonwealth).</w:t>
      </w:r>
    </w:p>
    <w:p w14:paraId="675B8794" w14:textId="77777777" w:rsidR="00371A85" w:rsidRPr="00983F6F" w:rsidRDefault="00371A85" w:rsidP="00371A85">
      <w:pPr>
        <w:jc w:val="left"/>
        <w:rPr>
          <w:rFonts w:ascii="Arial" w:hAnsi="Arial" w:cs="Arial"/>
        </w:rPr>
      </w:pPr>
      <w:r w:rsidRPr="00983F6F">
        <w:rPr>
          <w:rFonts w:ascii="Arial" w:hAnsi="Arial" w:cs="Arial"/>
        </w:rPr>
        <w:br w:type="page"/>
      </w:r>
    </w:p>
    <w:p w14:paraId="3D6D2257" w14:textId="77777777" w:rsidR="00371A85" w:rsidRPr="00983F6F" w:rsidRDefault="00371A85" w:rsidP="009A7694">
      <w:pPr>
        <w:pStyle w:val="ARHeading2"/>
        <w:rPr>
          <w:i/>
        </w:rPr>
      </w:pPr>
      <w:bookmarkStart w:id="10" w:name="_Toc390680563"/>
      <w:bookmarkStart w:id="11" w:name="_Toc458802732"/>
      <w:bookmarkStart w:id="12" w:name="_Toc524709383"/>
      <w:r w:rsidRPr="00983F6F">
        <w:lastRenderedPageBreak/>
        <w:t>2.3</w:t>
      </w:r>
      <w:r w:rsidRPr="00983F6F">
        <w:tab/>
        <w:t>Our Approach</w:t>
      </w:r>
      <w:bookmarkEnd w:id="10"/>
      <w:bookmarkEnd w:id="11"/>
      <w:bookmarkEnd w:id="12"/>
    </w:p>
    <w:p w14:paraId="1ECB3AD3" w14:textId="77777777" w:rsidR="00371A85" w:rsidRDefault="00371A85" w:rsidP="00371A85">
      <w:pPr>
        <w:autoSpaceDE w:val="0"/>
        <w:autoSpaceDN w:val="0"/>
        <w:adjustRightInd w:val="0"/>
        <w:jc w:val="left"/>
        <w:rPr>
          <w:rFonts w:ascii="Arial" w:hAnsi="Arial" w:cs="Arial"/>
        </w:rPr>
      </w:pPr>
    </w:p>
    <w:p w14:paraId="759C749C" w14:textId="77777777" w:rsidR="00371A85" w:rsidRPr="00983F6F" w:rsidRDefault="00371A85" w:rsidP="00371A85">
      <w:pPr>
        <w:autoSpaceDE w:val="0"/>
        <w:autoSpaceDN w:val="0"/>
        <w:adjustRightInd w:val="0"/>
        <w:jc w:val="left"/>
        <w:rPr>
          <w:rFonts w:ascii="Arial" w:hAnsi="Arial" w:cs="Arial"/>
        </w:rPr>
      </w:pPr>
      <w:r w:rsidRPr="00983F6F">
        <w:rPr>
          <w:rFonts w:ascii="Arial" w:hAnsi="Arial" w:cs="Arial"/>
        </w:rPr>
        <w:t xml:space="preserve">Our approach to what we do is reflected in our vision, mission and </w:t>
      </w:r>
      <w:r>
        <w:rPr>
          <w:rFonts w:ascii="Arial" w:hAnsi="Arial" w:cs="Arial"/>
        </w:rPr>
        <w:t>what we value</w:t>
      </w:r>
      <w:r w:rsidRPr="00983F6F">
        <w:rPr>
          <w:rFonts w:ascii="Arial" w:hAnsi="Arial" w:cs="Arial"/>
        </w:rPr>
        <w:t xml:space="preserve">. </w:t>
      </w:r>
    </w:p>
    <w:p w14:paraId="0E327B36" w14:textId="77777777" w:rsidR="00371A85" w:rsidRDefault="00371A85" w:rsidP="00371A85">
      <w:pPr>
        <w:pStyle w:val="NormalWeb5"/>
        <w:keepNext/>
        <w:keepLines/>
        <w:spacing w:before="0" w:beforeAutospacing="0" w:after="0"/>
        <w:ind w:right="-57"/>
        <w:rPr>
          <w:b/>
          <w:smallCaps/>
          <w:sz w:val="22"/>
          <w:szCs w:val="22"/>
        </w:rPr>
      </w:pPr>
    </w:p>
    <w:p w14:paraId="41AD87E1" w14:textId="77777777" w:rsidR="00371A85" w:rsidRPr="009A7694" w:rsidRDefault="00371A85" w:rsidP="009A7694">
      <w:pPr>
        <w:pStyle w:val="ARHeading3"/>
      </w:pPr>
      <w:r w:rsidRPr="009A7694">
        <w:t xml:space="preserve">Vision </w:t>
      </w:r>
    </w:p>
    <w:p w14:paraId="3942A498" w14:textId="77777777" w:rsidR="00371A85" w:rsidRPr="00983F6F" w:rsidRDefault="00371A85" w:rsidP="00371A85">
      <w:pPr>
        <w:pStyle w:val="NormalWeb5"/>
        <w:keepNext/>
        <w:keepLines/>
        <w:spacing w:before="0" w:beforeAutospacing="0" w:after="0"/>
        <w:ind w:right="-57"/>
        <w:rPr>
          <w:i/>
          <w:sz w:val="24"/>
          <w:szCs w:val="24"/>
        </w:rPr>
      </w:pPr>
      <w:r w:rsidRPr="00983F6F">
        <w:rPr>
          <w:sz w:val="24"/>
          <w:szCs w:val="24"/>
        </w:rPr>
        <w:t>A Government Trading Enterprise delivering efficient and equitable insurance services to WA motorists and government departments and authorities.</w:t>
      </w:r>
    </w:p>
    <w:p w14:paraId="4CB13D99" w14:textId="77777777" w:rsidR="00371A85" w:rsidRDefault="00371A85" w:rsidP="00371A85">
      <w:pPr>
        <w:pStyle w:val="NormalWeb5"/>
        <w:spacing w:before="0" w:beforeAutospacing="0" w:after="0"/>
        <w:ind w:right="-57"/>
        <w:rPr>
          <w:b/>
          <w:smallCaps/>
          <w:sz w:val="22"/>
          <w:szCs w:val="22"/>
        </w:rPr>
      </w:pPr>
    </w:p>
    <w:p w14:paraId="46950361" w14:textId="77777777" w:rsidR="00371A85" w:rsidRPr="00983F6F" w:rsidRDefault="00371A85" w:rsidP="009A7694">
      <w:pPr>
        <w:pStyle w:val="ARHeading3"/>
      </w:pPr>
      <w:r w:rsidRPr="00983F6F">
        <w:t xml:space="preserve">Mission </w:t>
      </w:r>
    </w:p>
    <w:p w14:paraId="5DAF702F" w14:textId="77777777" w:rsidR="00371A85" w:rsidRPr="00983F6F" w:rsidRDefault="00371A85" w:rsidP="00371A85">
      <w:pPr>
        <w:pStyle w:val="NormalWeb5"/>
        <w:spacing w:before="0" w:beforeAutospacing="0" w:after="0"/>
        <w:ind w:right="-57"/>
        <w:rPr>
          <w:sz w:val="24"/>
          <w:szCs w:val="24"/>
        </w:rPr>
      </w:pPr>
      <w:r w:rsidRPr="00983F6F">
        <w:rPr>
          <w:sz w:val="24"/>
          <w:szCs w:val="24"/>
        </w:rPr>
        <w:t>To provide high quality and efficient:</w:t>
      </w:r>
    </w:p>
    <w:p w14:paraId="2E6FB403" w14:textId="77777777" w:rsidR="00371A85" w:rsidRPr="00983F6F" w:rsidRDefault="00371A85" w:rsidP="00371A85">
      <w:pPr>
        <w:pStyle w:val="NormalWeb5"/>
        <w:numPr>
          <w:ilvl w:val="0"/>
          <w:numId w:val="6"/>
        </w:numPr>
        <w:spacing w:before="0" w:beforeAutospacing="0" w:after="0"/>
        <w:ind w:right="-57"/>
        <w:rPr>
          <w:sz w:val="24"/>
          <w:szCs w:val="24"/>
        </w:rPr>
      </w:pPr>
      <w:r w:rsidRPr="00983F6F">
        <w:rPr>
          <w:sz w:val="24"/>
          <w:szCs w:val="24"/>
        </w:rPr>
        <w:t>motor injury insurance for WA motorists;</w:t>
      </w:r>
    </w:p>
    <w:p w14:paraId="0E599103" w14:textId="77777777" w:rsidR="00371A85" w:rsidRPr="00983F6F" w:rsidRDefault="00371A85" w:rsidP="00371A85">
      <w:pPr>
        <w:pStyle w:val="NormalWeb5"/>
        <w:numPr>
          <w:ilvl w:val="0"/>
          <w:numId w:val="6"/>
        </w:numPr>
        <w:spacing w:before="0" w:beforeAutospacing="0" w:after="0"/>
        <w:ind w:right="-57"/>
        <w:rPr>
          <w:sz w:val="24"/>
          <w:szCs w:val="24"/>
        </w:rPr>
      </w:pPr>
      <w:r w:rsidRPr="00983F6F">
        <w:rPr>
          <w:sz w:val="24"/>
          <w:szCs w:val="24"/>
        </w:rPr>
        <w:t>self-insurance fund management (RiskCover) for Government Departments and Authorities;</w:t>
      </w:r>
    </w:p>
    <w:p w14:paraId="1D1CE33A" w14:textId="77777777" w:rsidR="00371A85" w:rsidRPr="00983F6F" w:rsidRDefault="00371A85" w:rsidP="00371A85">
      <w:pPr>
        <w:pStyle w:val="NormalWeb5"/>
        <w:numPr>
          <w:ilvl w:val="0"/>
          <w:numId w:val="6"/>
        </w:numPr>
        <w:spacing w:before="0" w:beforeAutospacing="0" w:after="0"/>
        <w:ind w:right="-57"/>
        <w:rPr>
          <w:sz w:val="24"/>
          <w:szCs w:val="24"/>
        </w:rPr>
      </w:pPr>
      <w:r w:rsidRPr="00983F6F">
        <w:rPr>
          <w:sz w:val="24"/>
          <w:szCs w:val="24"/>
        </w:rPr>
        <w:t>industrial diseases insurance to the mining sector and management of the Insurance Commission General Fund, Employers’ Indemnity Supplementation Fund and Government Insurance Fund; and</w:t>
      </w:r>
    </w:p>
    <w:p w14:paraId="7845F851" w14:textId="77777777" w:rsidR="00371A85" w:rsidRPr="00983F6F" w:rsidRDefault="00371A85" w:rsidP="00371A85">
      <w:pPr>
        <w:pStyle w:val="NormalWeb5"/>
        <w:numPr>
          <w:ilvl w:val="0"/>
          <w:numId w:val="6"/>
        </w:numPr>
        <w:spacing w:before="0" w:beforeAutospacing="0" w:after="0"/>
        <w:ind w:right="-57"/>
        <w:rPr>
          <w:sz w:val="24"/>
          <w:szCs w:val="24"/>
        </w:rPr>
      </w:pPr>
      <w:proofErr w:type="gramStart"/>
      <w:r w:rsidRPr="00983F6F">
        <w:rPr>
          <w:sz w:val="24"/>
          <w:szCs w:val="24"/>
        </w:rPr>
        <w:t>advice</w:t>
      </w:r>
      <w:proofErr w:type="gramEnd"/>
      <w:r w:rsidRPr="00983F6F">
        <w:rPr>
          <w:sz w:val="24"/>
          <w:szCs w:val="24"/>
        </w:rPr>
        <w:t xml:space="preserve"> to the Government on insurance matters.</w:t>
      </w:r>
    </w:p>
    <w:p w14:paraId="2F5429DF" w14:textId="77777777" w:rsidR="00371A85" w:rsidRDefault="00371A85" w:rsidP="00371A85">
      <w:pPr>
        <w:pStyle w:val="NormalWeb5"/>
        <w:spacing w:before="0" w:beforeAutospacing="0" w:after="0"/>
        <w:ind w:left="720" w:right="-57"/>
        <w:rPr>
          <w:b/>
          <w:smallCaps/>
          <w:sz w:val="22"/>
          <w:szCs w:val="22"/>
        </w:rPr>
      </w:pPr>
    </w:p>
    <w:p w14:paraId="4AD71FF6" w14:textId="77777777" w:rsidR="00371A85" w:rsidRDefault="00371A85" w:rsidP="009A7694">
      <w:pPr>
        <w:pStyle w:val="ARHeading3"/>
      </w:pPr>
      <w:r>
        <w:t>What We Value</w:t>
      </w:r>
    </w:p>
    <w:p w14:paraId="39F1F2F0" w14:textId="77777777" w:rsidR="00371A85" w:rsidRDefault="00371A85" w:rsidP="00371A85">
      <w:pPr>
        <w:pStyle w:val="NormalWeb5"/>
        <w:spacing w:before="0" w:beforeAutospacing="0" w:after="0"/>
        <w:ind w:right="-57"/>
        <w:rPr>
          <w:sz w:val="24"/>
          <w:szCs w:val="24"/>
        </w:rPr>
      </w:pPr>
      <w:r>
        <w:rPr>
          <w:sz w:val="24"/>
          <w:szCs w:val="24"/>
        </w:rPr>
        <w:t>We are committed to a high performance culture which values accountability, professional integrity and respect.</w:t>
      </w:r>
    </w:p>
    <w:p w14:paraId="1201C179" w14:textId="77777777" w:rsidR="00371A85" w:rsidRDefault="00371A85" w:rsidP="00371A85">
      <w:pPr>
        <w:pStyle w:val="NormalWeb5"/>
        <w:spacing w:before="0" w:beforeAutospacing="0" w:after="0"/>
        <w:ind w:right="-57"/>
        <w:rPr>
          <w:sz w:val="24"/>
          <w:szCs w:val="24"/>
        </w:rPr>
      </w:pPr>
    </w:p>
    <w:p w14:paraId="68680217" w14:textId="77777777" w:rsidR="00371A85" w:rsidRDefault="00371A85" w:rsidP="00371A85">
      <w:pPr>
        <w:pStyle w:val="NormalWeb5"/>
        <w:spacing w:before="0" w:beforeAutospacing="0" w:after="0"/>
        <w:ind w:right="-57"/>
        <w:rPr>
          <w:sz w:val="24"/>
          <w:szCs w:val="24"/>
        </w:rPr>
      </w:pPr>
      <w:r>
        <w:rPr>
          <w:sz w:val="24"/>
          <w:szCs w:val="24"/>
        </w:rPr>
        <w:t>To achieve this we strive to:</w:t>
      </w:r>
    </w:p>
    <w:p w14:paraId="792522F7" w14:textId="77777777" w:rsidR="00371A85" w:rsidRDefault="00371A85" w:rsidP="00371A85">
      <w:pPr>
        <w:pStyle w:val="NormalWeb5"/>
        <w:numPr>
          <w:ilvl w:val="0"/>
          <w:numId w:val="7"/>
        </w:numPr>
        <w:spacing w:before="0" w:beforeAutospacing="0" w:after="0"/>
        <w:ind w:right="-57"/>
        <w:rPr>
          <w:sz w:val="24"/>
          <w:szCs w:val="24"/>
        </w:rPr>
      </w:pPr>
      <w:r>
        <w:rPr>
          <w:sz w:val="24"/>
          <w:szCs w:val="24"/>
        </w:rPr>
        <w:t>be open to change and continuous improvement;</w:t>
      </w:r>
    </w:p>
    <w:p w14:paraId="20BB4C2D" w14:textId="77777777" w:rsidR="00371A85" w:rsidRDefault="00371A85" w:rsidP="00371A85">
      <w:pPr>
        <w:pStyle w:val="NormalWeb5"/>
        <w:numPr>
          <w:ilvl w:val="0"/>
          <w:numId w:val="7"/>
        </w:numPr>
        <w:spacing w:before="0" w:beforeAutospacing="0" w:after="0"/>
        <w:ind w:right="-57"/>
        <w:rPr>
          <w:sz w:val="24"/>
          <w:szCs w:val="24"/>
        </w:rPr>
      </w:pPr>
      <w:r>
        <w:rPr>
          <w:sz w:val="24"/>
          <w:szCs w:val="24"/>
        </w:rPr>
        <w:t>collaborate to deliver the best possible outcomes;</w:t>
      </w:r>
    </w:p>
    <w:p w14:paraId="4C662A4C" w14:textId="77777777" w:rsidR="00371A85" w:rsidRDefault="00371A85" w:rsidP="00371A85">
      <w:pPr>
        <w:pStyle w:val="NormalWeb5"/>
        <w:numPr>
          <w:ilvl w:val="0"/>
          <w:numId w:val="7"/>
        </w:numPr>
        <w:spacing w:before="0" w:beforeAutospacing="0" w:after="0"/>
        <w:ind w:right="-57"/>
        <w:rPr>
          <w:sz w:val="24"/>
          <w:szCs w:val="24"/>
        </w:rPr>
      </w:pPr>
      <w:r>
        <w:rPr>
          <w:sz w:val="24"/>
          <w:szCs w:val="24"/>
        </w:rPr>
        <w:t>respond to clients and stakeholders; and</w:t>
      </w:r>
    </w:p>
    <w:p w14:paraId="0671782F" w14:textId="77777777" w:rsidR="00371A85" w:rsidRDefault="00371A85" w:rsidP="00371A85">
      <w:pPr>
        <w:pStyle w:val="NormalWeb5"/>
        <w:numPr>
          <w:ilvl w:val="0"/>
          <w:numId w:val="7"/>
        </w:numPr>
        <w:spacing w:before="0" w:beforeAutospacing="0" w:after="0"/>
        <w:ind w:right="-57"/>
        <w:rPr>
          <w:sz w:val="24"/>
          <w:szCs w:val="24"/>
        </w:rPr>
      </w:pPr>
      <w:proofErr w:type="gramStart"/>
      <w:r>
        <w:rPr>
          <w:sz w:val="24"/>
          <w:szCs w:val="24"/>
        </w:rPr>
        <w:t>drive</w:t>
      </w:r>
      <w:proofErr w:type="gramEnd"/>
      <w:r>
        <w:rPr>
          <w:sz w:val="24"/>
          <w:szCs w:val="24"/>
        </w:rPr>
        <w:t xml:space="preserve"> efficient processes.</w:t>
      </w:r>
    </w:p>
    <w:p w14:paraId="446F3FC2" w14:textId="77777777" w:rsidR="00413666" w:rsidRDefault="00413666" w:rsidP="00413666">
      <w:pPr>
        <w:pStyle w:val="NormalWeb5"/>
        <w:spacing w:before="0" w:beforeAutospacing="0" w:after="0"/>
        <w:ind w:right="-57"/>
        <w:rPr>
          <w:sz w:val="24"/>
          <w:szCs w:val="24"/>
        </w:rPr>
      </w:pPr>
    </w:p>
    <w:p w14:paraId="1BA7E097" w14:textId="77777777" w:rsidR="00413666" w:rsidRDefault="00413666" w:rsidP="00413666">
      <w:pPr>
        <w:pStyle w:val="NormalWeb5"/>
        <w:spacing w:before="0" w:beforeAutospacing="0" w:after="0"/>
        <w:ind w:right="-57"/>
        <w:rPr>
          <w:sz w:val="24"/>
          <w:szCs w:val="24"/>
        </w:rPr>
      </w:pPr>
    </w:p>
    <w:p w14:paraId="125FBE99" w14:textId="77777777" w:rsidR="00413666" w:rsidRDefault="00413666" w:rsidP="00413666">
      <w:pPr>
        <w:pStyle w:val="NormalWeb5"/>
        <w:spacing w:before="0" w:beforeAutospacing="0" w:after="0"/>
        <w:ind w:right="-57"/>
        <w:rPr>
          <w:sz w:val="24"/>
          <w:szCs w:val="24"/>
        </w:rPr>
      </w:pPr>
    </w:p>
    <w:p w14:paraId="7E1FC0D4" w14:textId="77777777" w:rsidR="00413666" w:rsidRDefault="00413666" w:rsidP="00413666">
      <w:pPr>
        <w:pStyle w:val="NormalWeb5"/>
        <w:spacing w:before="0" w:beforeAutospacing="0" w:after="0"/>
        <w:ind w:right="-57"/>
        <w:rPr>
          <w:sz w:val="24"/>
          <w:szCs w:val="24"/>
        </w:rPr>
      </w:pPr>
    </w:p>
    <w:p w14:paraId="23358FA3" w14:textId="77777777" w:rsidR="00413666" w:rsidRDefault="00413666" w:rsidP="00413666">
      <w:pPr>
        <w:pStyle w:val="NormalWeb5"/>
        <w:spacing w:before="0" w:beforeAutospacing="0" w:after="0"/>
        <w:ind w:right="-57"/>
        <w:rPr>
          <w:sz w:val="24"/>
          <w:szCs w:val="24"/>
        </w:rPr>
      </w:pPr>
    </w:p>
    <w:p w14:paraId="58D41530" w14:textId="77777777" w:rsidR="00413666" w:rsidRDefault="00413666" w:rsidP="00413666">
      <w:pPr>
        <w:pStyle w:val="NormalWeb5"/>
        <w:spacing w:before="0" w:beforeAutospacing="0" w:after="0"/>
        <w:ind w:right="-57"/>
        <w:rPr>
          <w:sz w:val="24"/>
          <w:szCs w:val="24"/>
        </w:rPr>
      </w:pPr>
    </w:p>
    <w:p w14:paraId="5B3DBC63" w14:textId="77777777" w:rsidR="00413666" w:rsidRDefault="00413666" w:rsidP="00413666">
      <w:pPr>
        <w:pStyle w:val="NormalWeb5"/>
        <w:spacing w:before="0" w:beforeAutospacing="0" w:after="0"/>
        <w:ind w:right="-57"/>
        <w:rPr>
          <w:sz w:val="24"/>
          <w:szCs w:val="24"/>
        </w:rPr>
      </w:pPr>
    </w:p>
    <w:p w14:paraId="6A70F5A8" w14:textId="77777777" w:rsidR="00413666" w:rsidRDefault="00413666" w:rsidP="00413666">
      <w:pPr>
        <w:pStyle w:val="NormalWeb5"/>
        <w:spacing w:before="0" w:beforeAutospacing="0" w:after="0"/>
        <w:ind w:right="-57"/>
        <w:rPr>
          <w:sz w:val="24"/>
          <w:szCs w:val="24"/>
        </w:rPr>
      </w:pPr>
    </w:p>
    <w:p w14:paraId="0A8D2A1E" w14:textId="77777777" w:rsidR="00413666" w:rsidRDefault="00413666" w:rsidP="00413666">
      <w:pPr>
        <w:pStyle w:val="NormalWeb5"/>
        <w:spacing w:before="0" w:beforeAutospacing="0" w:after="0"/>
        <w:ind w:right="-57"/>
        <w:rPr>
          <w:sz w:val="24"/>
          <w:szCs w:val="24"/>
        </w:rPr>
      </w:pPr>
    </w:p>
    <w:p w14:paraId="64956C94" w14:textId="77777777" w:rsidR="00413666" w:rsidRDefault="00413666" w:rsidP="00413666">
      <w:pPr>
        <w:pStyle w:val="NormalWeb5"/>
        <w:spacing w:before="0" w:beforeAutospacing="0" w:after="0"/>
        <w:ind w:right="-57"/>
        <w:rPr>
          <w:sz w:val="24"/>
          <w:szCs w:val="24"/>
        </w:rPr>
      </w:pPr>
    </w:p>
    <w:p w14:paraId="537365FF" w14:textId="77777777" w:rsidR="00413666" w:rsidRDefault="00413666" w:rsidP="00413666">
      <w:pPr>
        <w:pStyle w:val="NormalWeb5"/>
        <w:spacing w:before="0" w:beforeAutospacing="0" w:after="0"/>
        <w:ind w:right="-57"/>
        <w:rPr>
          <w:sz w:val="24"/>
          <w:szCs w:val="24"/>
        </w:rPr>
      </w:pPr>
    </w:p>
    <w:p w14:paraId="0D1CC7A0" w14:textId="77777777" w:rsidR="00413666" w:rsidRDefault="00413666" w:rsidP="00413666">
      <w:pPr>
        <w:pStyle w:val="NormalWeb5"/>
        <w:spacing w:before="0" w:beforeAutospacing="0" w:after="0"/>
        <w:ind w:right="-57"/>
        <w:rPr>
          <w:sz w:val="24"/>
          <w:szCs w:val="24"/>
        </w:rPr>
      </w:pPr>
    </w:p>
    <w:p w14:paraId="2422EC64" w14:textId="77777777" w:rsidR="00413666" w:rsidRDefault="00413666" w:rsidP="00413666">
      <w:pPr>
        <w:pStyle w:val="NormalWeb5"/>
        <w:spacing w:before="0" w:beforeAutospacing="0" w:after="0"/>
        <w:ind w:right="-57"/>
        <w:rPr>
          <w:sz w:val="24"/>
          <w:szCs w:val="24"/>
        </w:rPr>
      </w:pPr>
    </w:p>
    <w:p w14:paraId="6AD372B2" w14:textId="77777777" w:rsidR="00413666" w:rsidRDefault="00413666" w:rsidP="00413666">
      <w:pPr>
        <w:pStyle w:val="NormalWeb5"/>
        <w:spacing w:before="0" w:beforeAutospacing="0" w:after="0"/>
        <w:ind w:right="-57"/>
        <w:rPr>
          <w:sz w:val="24"/>
          <w:szCs w:val="24"/>
        </w:rPr>
      </w:pPr>
    </w:p>
    <w:p w14:paraId="4CE4039C" w14:textId="77777777" w:rsidR="00413666" w:rsidRDefault="00413666" w:rsidP="00413666">
      <w:pPr>
        <w:pStyle w:val="NormalWeb5"/>
        <w:spacing w:before="0" w:beforeAutospacing="0" w:after="0"/>
        <w:ind w:right="-57"/>
        <w:rPr>
          <w:sz w:val="24"/>
          <w:szCs w:val="24"/>
        </w:rPr>
      </w:pPr>
    </w:p>
    <w:p w14:paraId="626B55B5" w14:textId="77777777" w:rsidR="00413666" w:rsidRDefault="00413666" w:rsidP="00413666">
      <w:pPr>
        <w:pStyle w:val="NormalWeb5"/>
        <w:spacing w:before="0" w:beforeAutospacing="0" w:after="0"/>
        <w:ind w:right="-57"/>
        <w:rPr>
          <w:sz w:val="24"/>
          <w:szCs w:val="24"/>
        </w:rPr>
      </w:pPr>
    </w:p>
    <w:p w14:paraId="4AC3D905" w14:textId="77777777" w:rsidR="00413666" w:rsidRDefault="00413666" w:rsidP="00413666">
      <w:pPr>
        <w:pStyle w:val="NormalWeb5"/>
        <w:spacing w:before="0" w:beforeAutospacing="0" w:after="0"/>
        <w:ind w:right="-57"/>
        <w:rPr>
          <w:sz w:val="24"/>
          <w:szCs w:val="24"/>
        </w:rPr>
      </w:pPr>
    </w:p>
    <w:p w14:paraId="259EB684" w14:textId="77777777" w:rsidR="00413666" w:rsidRPr="003C6095" w:rsidRDefault="00413666" w:rsidP="00413666">
      <w:pPr>
        <w:pStyle w:val="NormalWeb5"/>
        <w:spacing w:before="0" w:beforeAutospacing="0" w:after="0"/>
        <w:ind w:right="-57"/>
        <w:rPr>
          <w:sz w:val="24"/>
          <w:szCs w:val="24"/>
        </w:rPr>
      </w:pPr>
    </w:p>
    <w:p w14:paraId="4A1C5CFE" w14:textId="77777777" w:rsidR="00371A85" w:rsidRPr="00983F6F" w:rsidRDefault="00371A85" w:rsidP="00371A85">
      <w:pPr>
        <w:jc w:val="left"/>
        <w:rPr>
          <w:rFonts w:ascii="Arial" w:hAnsi="Arial" w:cs="Arial"/>
        </w:rPr>
      </w:pPr>
    </w:p>
    <w:p w14:paraId="3D2865C6" w14:textId="2085B4A1" w:rsidR="009A7694" w:rsidRPr="00655467" w:rsidRDefault="00371A85" w:rsidP="009A7694">
      <w:pPr>
        <w:pStyle w:val="ARHeading2"/>
      </w:pPr>
      <w:bookmarkStart w:id="13" w:name="_Toc390680564"/>
      <w:bookmarkStart w:id="14" w:name="_Toc458802733"/>
      <w:bookmarkStart w:id="15" w:name="_Toc524709384"/>
      <w:r w:rsidRPr="00983F6F">
        <w:lastRenderedPageBreak/>
        <w:t>2.4</w:t>
      </w:r>
      <w:r w:rsidRPr="00983F6F">
        <w:tab/>
        <w:t>Operational Structure</w:t>
      </w:r>
      <w:bookmarkEnd w:id="13"/>
      <w:bookmarkEnd w:id="14"/>
      <w:bookmarkEnd w:id="15"/>
      <w:r w:rsidR="00655467">
        <w:br/>
      </w:r>
    </w:p>
    <w:p w14:paraId="51D52D2D" w14:textId="77777777" w:rsidR="00371A85" w:rsidRPr="00983F6F" w:rsidRDefault="00371A85" w:rsidP="00371A85">
      <w:pPr>
        <w:jc w:val="left"/>
        <w:rPr>
          <w:rFonts w:ascii="Arial" w:hAnsi="Arial" w:cs="Arial"/>
        </w:rPr>
      </w:pPr>
      <w:r w:rsidRPr="00983F6F">
        <w:rPr>
          <w:rFonts w:ascii="Arial" w:hAnsi="Arial" w:cs="Arial"/>
        </w:rPr>
        <w:t>The Insurance Commission delivers services through four primary functions:</w:t>
      </w:r>
    </w:p>
    <w:p w14:paraId="7A3305CA" w14:textId="77777777" w:rsidR="00371A85" w:rsidRPr="00983F6F" w:rsidRDefault="00371A85" w:rsidP="00371A85">
      <w:pPr>
        <w:pStyle w:val="ListParagraph"/>
        <w:numPr>
          <w:ilvl w:val="0"/>
          <w:numId w:val="8"/>
        </w:numPr>
        <w:ind w:left="709"/>
        <w:rPr>
          <w:rFonts w:ascii="Arial" w:hAnsi="Arial" w:cs="Arial"/>
        </w:rPr>
      </w:pPr>
      <w:r w:rsidRPr="00983F6F">
        <w:rPr>
          <w:rFonts w:ascii="Arial" w:hAnsi="Arial" w:cs="Arial"/>
        </w:rPr>
        <w:t>Motor Injury Insurance;</w:t>
      </w:r>
    </w:p>
    <w:p w14:paraId="12720C8C" w14:textId="77777777" w:rsidR="00371A85" w:rsidRPr="00983F6F" w:rsidRDefault="00371A85" w:rsidP="00371A85">
      <w:pPr>
        <w:pStyle w:val="ListParagraph"/>
        <w:numPr>
          <w:ilvl w:val="0"/>
          <w:numId w:val="8"/>
        </w:numPr>
        <w:ind w:left="709"/>
        <w:rPr>
          <w:rFonts w:ascii="Arial" w:hAnsi="Arial" w:cs="Arial"/>
        </w:rPr>
      </w:pPr>
      <w:r w:rsidRPr="00983F6F">
        <w:rPr>
          <w:rFonts w:ascii="Arial" w:hAnsi="Arial" w:cs="Arial"/>
        </w:rPr>
        <w:t>RiskCover;</w:t>
      </w:r>
    </w:p>
    <w:p w14:paraId="3C581B92" w14:textId="77777777" w:rsidR="00371A85" w:rsidRPr="00983F6F" w:rsidRDefault="00371A85" w:rsidP="00371A85">
      <w:pPr>
        <w:pStyle w:val="ListParagraph"/>
        <w:numPr>
          <w:ilvl w:val="0"/>
          <w:numId w:val="8"/>
        </w:numPr>
        <w:ind w:left="709"/>
        <w:rPr>
          <w:rFonts w:ascii="Arial" w:hAnsi="Arial" w:cs="Arial"/>
        </w:rPr>
      </w:pPr>
      <w:r w:rsidRPr="00983F6F">
        <w:rPr>
          <w:rFonts w:ascii="Arial" w:hAnsi="Arial" w:cs="Arial"/>
        </w:rPr>
        <w:t>Investments; and</w:t>
      </w:r>
    </w:p>
    <w:p w14:paraId="1B26792C" w14:textId="77777777" w:rsidR="00371A85" w:rsidRDefault="00371A85" w:rsidP="00371A85">
      <w:pPr>
        <w:pStyle w:val="ListParagraph"/>
        <w:numPr>
          <w:ilvl w:val="0"/>
          <w:numId w:val="8"/>
        </w:numPr>
        <w:ind w:left="709"/>
        <w:rPr>
          <w:rFonts w:ascii="Arial" w:hAnsi="Arial" w:cs="Arial"/>
        </w:rPr>
      </w:pPr>
      <w:r w:rsidRPr="00983F6F">
        <w:rPr>
          <w:rFonts w:ascii="Arial" w:hAnsi="Arial" w:cs="Arial"/>
        </w:rPr>
        <w:t>Corporate Services.</w:t>
      </w:r>
    </w:p>
    <w:p w14:paraId="2E034B40" w14:textId="77777777" w:rsidR="00371A85" w:rsidRPr="00983F6F" w:rsidRDefault="00371A85" w:rsidP="00371A85">
      <w:pPr>
        <w:pStyle w:val="ListParagraph"/>
        <w:ind w:left="709"/>
        <w:rPr>
          <w:rFonts w:ascii="Arial" w:hAnsi="Arial" w:cs="Arial"/>
        </w:rPr>
      </w:pPr>
      <w:r w:rsidRPr="00983F6F">
        <w:rPr>
          <w:rFonts w:ascii="Arial" w:hAnsi="Arial" w:cs="Arial"/>
        </w:rPr>
        <w:t xml:space="preserve"> </w:t>
      </w:r>
    </w:p>
    <w:p w14:paraId="4F6AADEA" w14:textId="77777777" w:rsidR="00371A85" w:rsidRPr="00983F6F" w:rsidRDefault="00371A85" w:rsidP="009A7694">
      <w:pPr>
        <w:pStyle w:val="ARHeading3"/>
      </w:pPr>
      <w:bookmarkStart w:id="16" w:name="_Toc304549730"/>
      <w:bookmarkStart w:id="17" w:name="_Toc219795745"/>
      <w:bookmarkStart w:id="18" w:name="_Toc355181078"/>
      <w:bookmarkStart w:id="19" w:name="_Toc379793308"/>
      <w:bookmarkStart w:id="20" w:name="_Toc390680565"/>
      <w:r w:rsidRPr="00983F6F">
        <w:t>2.4.1</w:t>
      </w:r>
      <w:r w:rsidRPr="00983F6F">
        <w:tab/>
        <w:t xml:space="preserve">Motor Injury </w:t>
      </w:r>
      <w:bookmarkEnd w:id="16"/>
      <w:bookmarkEnd w:id="17"/>
      <w:bookmarkEnd w:id="18"/>
      <w:bookmarkEnd w:id="19"/>
      <w:bookmarkEnd w:id="20"/>
      <w:r w:rsidRPr="00983F6F">
        <w:t>Insurance Division</w:t>
      </w:r>
    </w:p>
    <w:p w14:paraId="4A9ED7C7" w14:textId="77777777" w:rsidR="00371A85" w:rsidRPr="00983F6F" w:rsidRDefault="00371A85" w:rsidP="00371A85">
      <w:pPr>
        <w:keepNext/>
        <w:keepLines/>
        <w:ind w:right="-57"/>
        <w:jc w:val="left"/>
        <w:rPr>
          <w:rFonts w:ascii="Arial" w:hAnsi="Arial" w:cs="Arial"/>
        </w:rPr>
      </w:pPr>
      <w:r w:rsidRPr="00983F6F">
        <w:rPr>
          <w:rFonts w:ascii="Arial" w:hAnsi="Arial" w:cs="Arial"/>
        </w:rPr>
        <w:t xml:space="preserve">The Insurance Commission is the sole underwriter of motor injury insurance in Western Australia (WA). A single motor injury insurance policy is governed by two Acts of Parliament: the </w:t>
      </w:r>
      <w:r w:rsidRPr="00983F6F">
        <w:rPr>
          <w:rFonts w:ascii="Arial" w:hAnsi="Arial" w:cs="Arial"/>
          <w:i/>
        </w:rPr>
        <w:t>Motor Vehicle (Third Party Insurance) Act 1943</w:t>
      </w:r>
      <w:r w:rsidRPr="00983F6F">
        <w:rPr>
          <w:rFonts w:ascii="Arial" w:hAnsi="Arial" w:cs="Arial"/>
        </w:rPr>
        <w:t xml:space="preserve"> and the </w:t>
      </w:r>
      <w:r w:rsidRPr="00983F6F">
        <w:rPr>
          <w:rFonts w:ascii="Arial" w:hAnsi="Arial" w:cs="Arial"/>
          <w:i/>
        </w:rPr>
        <w:t>Motor Vehicle (Catastrophic Injuries) Act 2016</w:t>
      </w:r>
      <w:r w:rsidRPr="00983F6F">
        <w:rPr>
          <w:rFonts w:ascii="Arial" w:hAnsi="Arial" w:cs="Arial"/>
        </w:rPr>
        <w:t xml:space="preserve">. </w:t>
      </w:r>
    </w:p>
    <w:p w14:paraId="4AC8CB1A" w14:textId="77777777" w:rsidR="00371A85" w:rsidRDefault="00371A85" w:rsidP="00371A85">
      <w:pPr>
        <w:ind w:right="-57"/>
        <w:jc w:val="left"/>
        <w:rPr>
          <w:rFonts w:ascii="Arial" w:hAnsi="Arial" w:cs="Arial"/>
        </w:rPr>
      </w:pPr>
    </w:p>
    <w:p w14:paraId="14248E2C" w14:textId="77777777" w:rsidR="00371A85" w:rsidRPr="00983F6F" w:rsidRDefault="00371A85" w:rsidP="00371A85">
      <w:pPr>
        <w:ind w:right="-57"/>
        <w:jc w:val="left"/>
        <w:rPr>
          <w:rFonts w:ascii="Arial" w:hAnsi="Arial" w:cs="Arial"/>
        </w:rPr>
      </w:pPr>
      <w:r w:rsidRPr="00983F6F">
        <w:rPr>
          <w:rFonts w:ascii="Arial" w:hAnsi="Arial" w:cs="Arial"/>
        </w:rPr>
        <w:t xml:space="preserve">The insurance policy provides owners and drivers of WA registered vehicles with an unlimited indemnity against personal injury claims for the injuries they cause to others in motor vehicle crashes. </w:t>
      </w:r>
    </w:p>
    <w:p w14:paraId="596EECC6" w14:textId="77777777" w:rsidR="00371A85" w:rsidRDefault="00371A85" w:rsidP="00371A85">
      <w:pPr>
        <w:ind w:right="-57"/>
        <w:jc w:val="left"/>
        <w:rPr>
          <w:rFonts w:ascii="Arial" w:hAnsi="Arial" w:cs="Arial"/>
        </w:rPr>
      </w:pPr>
    </w:p>
    <w:p w14:paraId="0F7E4A04" w14:textId="77777777" w:rsidR="00371A85" w:rsidRDefault="00371A85" w:rsidP="00371A85">
      <w:pPr>
        <w:ind w:right="-57"/>
        <w:jc w:val="left"/>
        <w:rPr>
          <w:rFonts w:ascii="Arial" w:hAnsi="Arial" w:cs="Arial"/>
        </w:rPr>
      </w:pPr>
      <w:r w:rsidRPr="00983F6F">
        <w:rPr>
          <w:rFonts w:ascii="Arial" w:hAnsi="Arial" w:cs="Arial"/>
        </w:rPr>
        <w:t xml:space="preserve">The policy also provides cover to any person catastrophically injured in a crash in WA. </w:t>
      </w:r>
    </w:p>
    <w:p w14:paraId="7AEA2602" w14:textId="77777777" w:rsidR="00371A85" w:rsidRDefault="00371A85" w:rsidP="00371A85">
      <w:pPr>
        <w:ind w:right="-57"/>
        <w:jc w:val="left"/>
        <w:rPr>
          <w:rFonts w:ascii="Arial" w:hAnsi="Arial" w:cs="Arial"/>
        </w:rPr>
      </w:pPr>
    </w:p>
    <w:p w14:paraId="03C12187" w14:textId="77777777" w:rsidR="00371A85" w:rsidRPr="00983F6F" w:rsidRDefault="00371A85" w:rsidP="00371A85">
      <w:pPr>
        <w:ind w:right="-57"/>
        <w:jc w:val="left"/>
        <w:rPr>
          <w:rFonts w:ascii="Arial" w:hAnsi="Arial" w:cs="Arial"/>
        </w:rPr>
      </w:pPr>
      <w:r w:rsidRPr="00983F6F">
        <w:rPr>
          <w:rFonts w:ascii="Arial" w:hAnsi="Arial" w:cs="Arial"/>
        </w:rPr>
        <w:t>The policy is issued to motorists along with their motor vehicle registration by the Department of Transport and its agents</w:t>
      </w:r>
      <w:r>
        <w:rPr>
          <w:rFonts w:ascii="Arial" w:hAnsi="Arial" w:cs="Arial"/>
        </w:rPr>
        <w:t>,</w:t>
      </w:r>
      <w:r w:rsidRPr="00983F6F">
        <w:rPr>
          <w:rFonts w:ascii="Arial" w:hAnsi="Arial" w:cs="Arial"/>
        </w:rPr>
        <w:t xml:space="preserve"> who collect premium payments on behalf of the Insurance Commission.</w:t>
      </w:r>
    </w:p>
    <w:p w14:paraId="232FE2D4" w14:textId="77777777" w:rsidR="00371A85" w:rsidRPr="008217C5" w:rsidRDefault="00371A85" w:rsidP="00371A85">
      <w:pPr>
        <w:pStyle w:val="NoParagraphStyle"/>
        <w:suppressAutoHyphens/>
        <w:spacing w:line="240" w:lineRule="auto"/>
        <w:rPr>
          <w:rFonts w:ascii="Arial" w:hAnsi="Arial" w:cs="Arial"/>
          <w:color w:val="auto"/>
        </w:rPr>
      </w:pPr>
    </w:p>
    <w:p w14:paraId="7F1DADFD" w14:textId="77777777" w:rsidR="00371A85" w:rsidRPr="008217C5" w:rsidRDefault="00371A85" w:rsidP="00371A85">
      <w:pPr>
        <w:pStyle w:val="NoParagraphStyle"/>
        <w:suppressAutoHyphens/>
        <w:spacing w:line="240" w:lineRule="auto"/>
        <w:rPr>
          <w:rFonts w:ascii="Arial" w:hAnsi="Arial" w:cs="Arial"/>
          <w:color w:val="auto"/>
        </w:rPr>
      </w:pPr>
      <w:r>
        <w:rPr>
          <w:rFonts w:ascii="Arial" w:hAnsi="Arial" w:cs="Arial"/>
          <w:color w:val="auto"/>
        </w:rPr>
        <w:t>At 30 June 2018</w:t>
      </w:r>
      <w:r w:rsidRPr="008217C5">
        <w:rPr>
          <w:rFonts w:ascii="Arial" w:hAnsi="Arial" w:cs="Arial"/>
          <w:color w:val="auto"/>
        </w:rPr>
        <w:t xml:space="preserve">, there were </w:t>
      </w:r>
      <w:r w:rsidRPr="00EA329C">
        <w:rPr>
          <w:rFonts w:ascii="Arial" w:hAnsi="Arial" w:cs="Arial"/>
          <w:color w:val="auto"/>
        </w:rPr>
        <w:t>approximately 2.9 million registered</w:t>
      </w:r>
      <w:r>
        <w:rPr>
          <w:rFonts w:ascii="Arial" w:hAnsi="Arial" w:cs="Arial"/>
          <w:color w:val="auto"/>
        </w:rPr>
        <w:t xml:space="preserve"> motor vehicles in WA (i</w:t>
      </w:r>
      <w:r w:rsidRPr="008217C5">
        <w:rPr>
          <w:rFonts w:ascii="Arial" w:hAnsi="Arial" w:cs="Arial"/>
          <w:color w:val="auto"/>
        </w:rPr>
        <w:t>ncludin</w:t>
      </w:r>
      <w:r w:rsidRPr="00EA329C">
        <w:rPr>
          <w:rFonts w:ascii="Arial" w:hAnsi="Arial" w:cs="Arial"/>
          <w:color w:val="auto"/>
        </w:rPr>
        <w:t>g 5</w:t>
      </w:r>
      <w:r>
        <w:rPr>
          <w:rFonts w:ascii="Arial" w:hAnsi="Arial" w:cs="Arial"/>
          <w:color w:val="auto"/>
        </w:rPr>
        <w:t xml:space="preserve">41,228 </w:t>
      </w:r>
      <w:r w:rsidRPr="00EA329C">
        <w:rPr>
          <w:rFonts w:ascii="Arial" w:hAnsi="Arial" w:cs="Arial"/>
          <w:color w:val="auto"/>
        </w:rPr>
        <w:t>registered caravans and trailers</w:t>
      </w:r>
      <w:r w:rsidRPr="008217C5">
        <w:rPr>
          <w:rFonts w:ascii="Arial" w:hAnsi="Arial" w:cs="Arial"/>
          <w:color w:val="auto"/>
        </w:rPr>
        <w:t xml:space="preserve">). </w:t>
      </w:r>
    </w:p>
    <w:p w14:paraId="30A8ADFC" w14:textId="77777777" w:rsidR="00371A85" w:rsidRPr="008217C5" w:rsidRDefault="00371A85" w:rsidP="00371A85">
      <w:pPr>
        <w:pStyle w:val="NoParagraphStyle"/>
        <w:suppressAutoHyphens/>
        <w:spacing w:line="240" w:lineRule="auto"/>
        <w:rPr>
          <w:rFonts w:ascii="Arial" w:hAnsi="Arial" w:cs="Arial"/>
          <w:color w:val="auto"/>
        </w:rPr>
      </w:pPr>
    </w:p>
    <w:p w14:paraId="522765C0" w14:textId="77777777" w:rsidR="00371A85" w:rsidRPr="00326781" w:rsidRDefault="00371A85" w:rsidP="00371A85">
      <w:pPr>
        <w:pStyle w:val="NoParagraphStyle"/>
        <w:suppressAutoHyphens/>
        <w:spacing w:line="240" w:lineRule="auto"/>
        <w:rPr>
          <w:rFonts w:ascii="Arial" w:hAnsi="Arial" w:cs="Arial"/>
          <w:i/>
          <w:color w:val="auto"/>
        </w:rPr>
      </w:pPr>
      <w:r w:rsidRPr="00326781">
        <w:rPr>
          <w:rFonts w:ascii="Arial" w:hAnsi="Arial" w:cs="Arial"/>
          <w:i/>
          <w:color w:val="auto"/>
        </w:rPr>
        <w:t>Infographic – Registered vehicles in Western Australia at 30 June 2018</w:t>
      </w:r>
    </w:p>
    <w:p w14:paraId="4C776259" w14:textId="77777777" w:rsidR="00371A85" w:rsidRPr="00326781" w:rsidRDefault="00371A85" w:rsidP="00371A85">
      <w:pPr>
        <w:pStyle w:val="NoParagraphStyle"/>
        <w:suppressAutoHyphens/>
        <w:spacing w:line="240" w:lineRule="auto"/>
        <w:rPr>
          <w:rFonts w:ascii="Arial" w:hAnsi="Arial" w:cs="Arial"/>
          <w:color w:val="auto"/>
        </w:rPr>
      </w:pPr>
      <w:r w:rsidRPr="00326781">
        <w:rPr>
          <w:rFonts w:ascii="Arial" w:hAnsi="Arial" w:cs="Arial"/>
          <w:color w:val="auto"/>
        </w:rPr>
        <w:t>Cars 1,</w:t>
      </w:r>
      <w:r>
        <w:rPr>
          <w:rFonts w:ascii="Arial" w:hAnsi="Arial" w:cs="Arial"/>
          <w:color w:val="auto"/>
        </w:rPr>
        <w:t>594,983</w:t>
      </w:r>
    </w:p>
    <w:p w14:paraId="1B04C3E1" w14:textId="77777777" w:rsidR="00371A85" w:rsidRPr="00326781" w:rsidRDefault="00371A85" w:rsidP="00371A85">
      <w:pPr>
        <w:pStyle w:val="NoParagraphStyle"/>
        <w:suppressAutoHyphens/>
        <w:spacing w:line="240" w:lineRule="auto"/>
        <w:rPr>
          <w:rFonts w:ascii="Arial" w:hAnsi="Arial" w:cs="Arial"/>
          <w:color w:val="auto"/>
        </w:rPr>
      </w:pPr>
      <w:r w:rsidRPr="00326781">
        <w:rPr>
          <w:rFonts w:ascii="Arial" w:hAnsi="Arial" w:cs="Arial"/>
          <w:color w:val="auto"/>
        </w:rPr>
        <w:t>Caravans and trailers 5</w:t>
      </w:r>
      <w:r>
        <w:rPr>
          <w:rFonts w:ascii="Arial" w:hAnsi="Arial" w:cs="Arial"/>
          <w:color w:val="auto"/>
        </w:rPr>
        <w:t>41,228</w:t>
      </w:r>
    </w:p>
    <w:p w14:paraId="20DB5686" w14:textId="77777777" w:rsidR="00371A85" w:rsidRPr="00326781" w:rsidRDefault="00371A85" w:rsidP="00371A85">
      <w:pPr>
        <w:pStyle w:val="NoParagraphStyle"/>
        <w:suppressAutoHyphens/>
        <w:spacing w:line="240" w:lineRule="auto"/>
        <w:rPr>
          <w:rFonts w:ascii="Arial" w:hAnsi="Arial" w:cs="Arial"/>
          <w:color w:val="auto"/>
        </w:rPr>
      </w:pPr>
      <w:r w:rsidRPr="00326781">
        <w:rPr>
          <w:rFonts w:ascii="Arial" w:hAnsi="Arial" w:cs="Arial"/>
          <w:color w:val="auto"/>
        </w:rPr>
        <w:t xml:space="preserve">Goods vehicles </w:t>
      </w:r>
      <w:r>
        <w:rPr>
          <w:rFonts w:ascii="Arial" w:hAnsi="Arial" w:cs="Arial"/>
          <w:color w:val="auto"/>
        </w:rPr>
        <w:t>498,216</w:t>
      </w:r>
    </w:p>
    <w:p w14:paraId="1993069C" w14:textId="77777777" w:rsidR="00371A85" w:rsidRDefault="00371A85" w:rsidP="00371A85">
      <w:pPr>
        <w:pStyle w:val="NoParagraphStyle"/>
        <w:suppressAutoHyphens/>
        <w:spacing w:line="240" w:lineRule="auto"/>
        <w:rPr>
          <w:rFonts w:ascii="Arial" w:hAnsi="Arial" w:cs="Arial"/>
          <w:color w:val="auto"/>
        </w:rPr>
      </w:pPr>
      <w:r w:rsidRPr="00326781">
        <w:rPr>
          <w:rFonts w:ascii="Arial" w:hAnsi="Arial" w:cs="Arial"/>
          <w:color w:val="auto"/>
        </w:rPr>
        <w:t xml:space="preserve">Motorcycles </w:t>
      </w:r>
      <w:r>
        <w:rPr>
          <w:rFonts w:ascii="Arial" w:hAnsi="Arial" w:cs="Arial"/>
          <w:color w:val="auto"/>
        </w:rPr>
        <w:t>129,245</w:t>
      </w:r>
    </w:p>
    <w:p w14:paraId="38713D6E" w14:textId="77777777" w:rsidR="00371A85" w:rsidRDefault="00371A85" w:rsidP="00371A85">
      <w:pPr>
        <w:pStyle w:val="NoParagraphStyle"/>
        <w:suppressAutoHyphens/>
        <w:spacing w:line="240" w:lineRule="auto"/>
        <w:rPr>
          <w:rFonts w:ascii="Arial" w:hAnsi="Arial" w:cs="Arial"/>
          <w:color w:val="auto"/>
        </w:rPr>
      </w:pPr>
      <w:r w:rsidRPr="00326781">
        <w:rPr>
          <w:rFonts w:ascii="Arial" w:hAnsi="Arial" w:cs="Arial"/>
          <w:color w:val="auto"/>
        </w:rPr>
        <w:t xml:space="preserve">Farm vehicles and others </w:t>
      </w:r>
      <w:r>
        <w:rPr>
          <w:rFonts w:ascii="Arial" w:hAnsi="Arial" w:cs="Arial"/>
          <w:color w:val="auto"/>
        </w:rPr>
        <w:t>121,931</w:t>
      </w:r>
    </w:p>
    <w:p w14:paraId="6B4E659F" w14:textId="77777777" w:rsidR="00371A85" w:rsidRPr="00983F6F" w:rsidRDefault="00371A85" w:rsidP="00371A85">
      <w:pPr>
        <w:pStyle w:val="NoParagraphStyle"/>
        <w:suppressAutoHyphens/>
        <w:spacing w:line="240" w:lineRule="auto"/>
        <w:rPr>
          <w:rFonts w:ascii="Arial" w:hAnsi="Arial" w:cs="Arial"/>
          <w:color w:val="auto"/>
          <w:sz w:val="22"/>
          <w:szCs w:val="22"/>
        </w:rPr>
      </w:pPr>
    </w:p>
    <w:p w14:paraId="399D7B99" w14:textId="77777777" w:rsidR="00371A85" w:rsidRPr="00983F6F" w:rsidRDefault="00371A85" w:rsidP="00371A85">
      <w:pPr>
        <w:keepNext/>
        <w:keepLines/>
        <w:ind w:right="-57"/>
        <w:jc w:val="left"/>
        <w:rPr>
          <w:rFonts w:ascii="Arial" w:hAnsi="Arial" w:cs="Arial"/>
        </w:rPr>
      </w:pPr>
      <w:r w:rsidRPr="00983F6F">
        <w:rPr>
          <w:rFonts w:ascii="Arial" w:hAnsi="Arial" w:cs="Arial"/>
        </w:rPr>
        <w:lastRenderedPageBreak/>
        <w:t>The Insurance Commission has delivered Compulsory Third Pa</w:t>
      </w:r>
      <w:r>
        <w:rPr>
          <w:rFonts w:ascii="Arial" w:hAnsi="Arial" w:cs="Arial"/>
        </w:rPr>
        <w:t>rty (CTP) insurance in WA for over seven decades</w:t>
      </w:r>
      <w:r w:rsidRPr="00983F6F">
        <w:rPr>
          <w:rFonts w:ascii="Arial" w:hAnsi="Arial" w:cs="Arial"/>
        </w:rPr>
        <w:t xml:space="preserve">, providing compensation to claimants where a motorist in a crash causes injury to </w:t>
      </w:r>
      <w:r>
        <w:rPr>
          <w:rFonts w:ascii="Arial" w:hAnsi="Arial" w:cs="Arial"/>
        </w:rPr>
        <w:t>that claimant</w:t>
      </w:r>
      <w:r w:rsidRPr="00983F6F">
        <w:rPr>
          <w:rFonts w:ascii="Arial" w:hAnsi="Arial" w:cs="Arial"/>
        </w:rPr>
        <w:t>. Since 1 July 2016, the In</w:t>
      </w:r>
      <w:r>
        <w:rPr>
          <w:rFonts w:ascii="Arial" w:hAnsi="Arial" w:cs="Arial"/>
        </w:rPr>
        <w:t>surance Commission has also delivered</w:t>
      </w:r>
      <w:r w:rsidRPr="00983F6F">
        <w:rPr>
          <w:rFonts w:ascii="Arial" w:hAnsi="Arial" w:cs="Arial"/>
        </w:rPr>
        <w:t xml:space="preserve"> Catastrophic Injuries Support (CIS) insurance</w:t>
      </w:r>
      <w:r>
        <w:rPr>
          <w:rFonts w:ascii="Arial" w:hAnsi="Arial" w:cs="Arial"/>
        </w:rPr>
        <w:t xml:space="preserve"> to cover</w:t>
      </w:r>
      <w:r w:rsidRPr="00983F6F">
        <w:rPr>
          <w:rFonts w:ascii="Arial" w:hAnsi="Arial" w:cs="Arial"/>
        </w:rPr>
        <w:t xml:space="preserve"> the lifetime care costs of people catastrophically injured in a </w:t>
      </w:r>
      <w:r>
        <w:rPr>
          <w:rFonts w:ascii="Arial" w:hAnsi="Arial" w:cs="Arial"/>
        </w:rPr>
        <w:t xml:space="preserve">vehicle </w:t>
      </w:r>
      <w:r w:rsidRPr="00983F6F">
        <w:rPr>
          <w:rFonts w:ascii="Arial" w:hAnsi="Arial" w:cs="Arial"/>
        </w:rPr>
        <w:t xml:space="preserve">crash in WA.   </w:t>
      </w:r>
    </w:p>
    <w:p w14:paraId="699B79B7" w14:textId="77777777" w:rsidR="00371A85" w:rsidRPr="00983F6F" w:rsidRDefault="00371A85" w:rsidP="00371A85">
      <w:pPr>
        <w:keepNext/>
        <w:keepLines/>
        <w:ind w:right="-57"/>
        <w:jc w:val="left"/>
        <w:rPr>
          <w:rFonts w:ascii="Arial" w:hAnsi="Arial" w:cs="Arial"/>
        </w:rPr>
      </w:pPr>
    </w:p>
    <w:p w14:paraId="0C995938" w14:textId="77777777" w:rsidR="00371A85" w:rsidRPr="00983F6F" w:rsidRDefault="00371A85" w:rsidP="00371A85">
      <w:pPr>
        <w:keepNext/>
        <w:keepLines/>
        <w:ind w:right="-57"/>
        <w:jc w:val="left"/>
        <w:rPr>
          <w:rFonts w:ascii="Arial" w:hAnsi="Arial" w:cs="Arial"/>
        </w:rPr>
      </w:pPr>
      <w:r w:rsidRPr="00983F6F">
        <w:rPr>
          <w:rFonts w:ascii="Arial" w:hAnsi="Arial" w:cs="Arial"/>
        </w:rPr>
        <w:t xml:space="preserve">The combination of CTP and CIS insurance cover is known as motor injury insurance.  </w:t>
      </w:r>
    </w:p>
    <w:p w14:paraId="720076DB" w14:textId="77777777" w:rsidR="00371A85" w:rsidRPr="00983F6F" w:rsidRDefault="00371A85" w:rsidP="00371A85">
      <w:pPr>
        <w:keepNext/>
        <w:keepLines/>
        <w:ind w:right="-57"/>
        <w:jc w:val="left"/>
        <w:rPr>
          <w:rFonts w:ascii="Arial" w:hAnsi="Arial" w:cs="Arial"/>
        </w:rPr>
      </w:pPr>
    </w:p>
    <w:p w14:paraId="16DCB4A2" w14:textId="77777777" w:rsidR="00371A85" w:rsidRDefault="00371A85" w:rsidP="00371A85">
      <w:pPr>
        <w:keepNext/>
        <w:keepLines/>
        <w:ind w:right="-57"/>
        <w:jc w:val="left"/>
        <w:rPr>
          <w:rFonts w:ascii="Arial" w:hAnsi="Arial" w:cs="Arial"/>
        </w:rPr>
      </w:pPr>
      <w:r w:rsidRPr="00C908D4">
        <w:rPr>
          <w:rFonts w:ascii="Arial" w:hAnsi="Arial" w:cs="Arial"/>
        </w:rPr>
        <w:t>The Third Party Insurance Fund (TPIF) is the fund that supports the CTP scheme, and the Motor Vehicle (Catastrophic Injuries) Fund (MVCIF) is the fund that supports the CIS scheme. The Motor Injury Ins</w:t>
      </w:r>
      <w:r>
        <w:rPr>
          <w:rFonts w:ascii="Arial" w:hAnsi="Arial" w:cs="Arial"/>
        </w:rPr>
        <w:t>urance Division manages claims against</w:t>
      </w:r>
      <w:r w:rsidRPr="00C908D4">
        <w:rPr>
          <w:rFonts w:ascii="Arial" w:hAnsi="Arial" w:cs="Arial"/>
        </w:rPr>
        <w:t xml:space="preserve"> both </w:t>
      </w:r>
      <w:r>
        <w:rPr>
          <w:rFonts w:ascii="Arial" w:hAnsi="Arial" w:cs="Arial"/>
        </w:rPr>
        <w:t>funds</w:t>
      </w:r>
      <w:r w:rsidRPr="00C908D4">
        <w:rPr>
          <w:rFonts w:ascii="Arial" w:hAnsi="Arial" w:cs="Arial"/>
        </w:rPr>
        <w:t>.</w:t>
      </w:r>
    </w:p>
    <w:p w14:paraId="2C0A751B" w14:textId="77777777" w:rsidR="00371A85" w:rsidRDefault="00371A85" w:rsidP="00371A85">
      <w:pPr>
        <w:keepNext/>
        <w:keepLines/>
        <w:ind w:right="-57"/>
        <w:jc w:val="left"/>
        <w:rPr>
          <w:rFonts w:ascii="Arial" w:hAnsi="Arial" w:cs="Arial"/>
        </w:rPr>
      </w:pPr>
    </w:p>
    <w:p w14:paraId="283B66E0" w14:textId="77777777" w:rsidR="00371A85" w:rsidRPr="00983F6F" w:rsidRDefault="00371A85" w:rsidP="00371A85">
      <w:pPr>
        <w:keepNext/>
        <w:keepLines/>
        <w:ind w:right="-57"/>
        <w:jc w:val="left"/>
        <w:rPr>
          <w:rFonts w:ascii="Arial" w:hAnsi="Arial" w:cs="Arial"/>
        </w:rPr>
      </w:pPr>
      <w:r>
        <w:rPr>
          <w:rFonts w:ascii="Arial" w:hAnsi="Arial" w:cs="Arial"/>
        </w:rPr>
        <w:t>The annual cost of motor injury insurance for a family car in WA from 1 July 2017 to 30 June 2018 was $421.</w:t>
      </w:r>
    </w:p>
    <w:p w14:paraId="09E65F98" w14:textId="77777777" w:rsidR="00371A85" w:rsidRPr="00983F6F" w:rsidRDefault="00371A85" w:rsidP="00371A85">
      <w:pPr>
        <w:pStyle w:val="NoParagraphStyle"/>
        <w:suppressAutoHyphens/>
        <w:spacing w:line="240" w:lineRule="auto"/>
        <w:rPr>
          <w:rFonts w:ascii="Arial" w:hAnsi="Arial" w:cs="Arial"/>
          <w:i/>
          <w:sz w:val="22"/>
          <w:szCs w:val="22"/>
        </w:rPr>
      </w:pPr>
    </w:p>
    <w:p w14:paraId="65EDF0E1" w14:textId="77777777" w:rsidR="00371A85" w:rsidRPr="008217C5" w:rsidRDefault="00371A85" w:rsidP="009A7694">
      <w:pPr>
        <w:pStyle w:val="ARHeading3"/>
      </w:pPr>
      <w:r w:rsidRPr="008217C5">
        <w:t>Compulsory Third Party Scheme</w:t>
      </w:r>
    </w:p>
    <w:p w14:paraId="743EDD73" w14:textId="77777777" w:rsidR="00371A85" w:rsidRPr="008217C5" w:rsidRDefault="00371A85" w:rsidP="00371A85">
      <w:pPr>
        <w:pStyle w:val="NoParagraphStyle"/>
        <w:suppressAutoHyphens/>
        <w:spacing w:line="240" w:lineRule="auto"/>
        <w:rPr>
          <w:rFonts w:ascii="Arial" w:hAnsi="Arial" w:cs="Arial"/>
        </w:rPr>
      </w:pPr>
      <w:r w:rsidRPr="008217C5">
        <w:rPr>
          <w:rFonts w:ascii="Arial" w:hAnsi="Arial" w:cs="Arial"/>
        </w:rPr>
        <w:t xml:space="preserve">A third party injured as a consequence of the negligent driving of a Western Australian registered motor vehicle anywhere in Australia is </w:t>
      </w:r>
      <w:r>
        <w:rPr>
          <w:rFonts w:ascii="Arial" w:hAnsi="Arial" w:cs="Arial"/>
        </w:rPr>
        <w:t>able</w:t>
      </w:r>
      <w:r w:rsidRPr="008217C5">
        <w:rPr>
          <w:rFonts w:ascii="Arial" w:hAnsi="Arial" w:cs="Arial"/>
        </w:rPr>
        <w:t xml:space="preserve"> to pursue a claim for personal injury compensation under the CTP scheme. The Insurance Commission pays for the cost of personal injuries where a driver injures another person.</w:t>
      </w:r>
    </w:p>
    <w:p w14:paraId="2AC26C54" w14:textId="77777777" w:rsidR="00371A85" w:rsidRPr="008217C5" w:rsidRDefault="00371A85" w:rsidP="00371A85">
      <w:pPr>
        <w:pStyle w:val="NoParagraphStyle"/>
        <w:suppressAutoHyphens/>
        <w:spacing w:line="240" w:lineRule="auto"/>
        <w:rPr>
          <w:rFonts w:ascii="Arial" w:hAnsi="Arial" w:cs="Arial"/>
        </w:rPr>
      </w:pPr>
    </w:p>
    <w:p w14:paraId="7FC2AD8D" w14:textId="77777777" w:rsidR="00371A85" w:rsidRPr="008217C5" w:rsidRDefault="00371A85" w:rsidP="00371A85">
      <w:pPr>
        <w:pStyle w:val="NoParagraphStyle"/>
        <w:suppressAutoHyphens/>
        <w:spacing w:line="240" w:lineRule="auto"/>
        <w:rPr>
          <w:rFonts w:ascii="Arial" w:hAnsi="Arial" w:cs="Arial"/>
        </w:rPr>
      </w:pPr>
      <w:r w:rsidRPr="008217C5">
        <w:rPr>
          <w:rFonts w:ascii="Arial" w:hAnsi="Arial" w:cs="Arial"/>
        </w:rPr>
        <w:t>If fault by another party can be established by an injured claimant, interim payments for medical costs are generally made. There is no legal requirement for the Insurance Commission to pay costs before a claim is settled but this payment policy aims to alleviate financial hardship and minimise inconvenience to claimants and their families.</w:t>
      </w:r>
    </w:p>
    <w:p w14:paraId="6A88EEA9" w14:textId="77777777" w:rsidR="00371A85" w:rsidRPr="008217C5" w:rsidRDefault="00371A85" w:rsidP="00371A85">
      <w:pPr>
        <w:ind w:right="-57"/>
        <w:jc w:val="left"/>
        <w:rPr>
          <w:rFonts w:ascii="Arial" w:hAnsi="Arial" w:cs="Arial"/>
          <w:szCs w:val="24"/>
        </w:rPr>
      </w:pPr>
    </w:p>
    <w:p w14:paraId="2238ADBA" w14:textId="77777777" w:rsidR="00371A85" w:rsidRPr="008217C5" w:rsidRDefault="00371A85" w:rsidP="00371A85">
      <w:pPr>
        <w:ind w:right="-57"/>
        <w:jc w:val="left"/>
        <w:rPr>
          <w:rFonts w:ascii="Arial" w:hAnsi="Arial" w:cs="Arial"/>
          <w:szCs w:val="24"/>
        </w:rPr>
      </w:pPr>
      <w:r w:rsidRPr="008217C5">
        <w:rPr>
          <w:rFonts w:ascii="Arial" w:hAnsi="Arial" w:cs="Arial"/>
          <w:szCs w:val="24"/>
        </w:rPr>
        <w:t xml:space="preserve">The Insurance Commission also assumes the role of a ‘Nominal Defendant’ under the </w:t>
      </w:r>
      <w:r w:rsidRPr="008217C5">
        <w:rPr>
          <w:rFonts w:ascii="Arial" w:hAnsi="Arial" w:cs="Arial"/>
          <w:i/>
          <w:szCs w:val="24"/>
        </w:rPr>
        <w:t>Motor Vehicle (Third Party Insurance) Act 1943</w:t>
      </w:r>
      <w:r w:rsidRPr="008217C5">
        <w:rPr>
          <w:rFonts w:ascii="Arial" w:hAnsi="Arial" w:cs="Arial"/>
          <w:szCs w:val="24"/>
        </w:rPr>
        <w:t xml:space="preserve"> where</w:t>
      </w:r>
      <w:r>
        <w:rPr>
          <w:rFonts w:ascii="Arial" w:hAnsi="Arial" w:cs="Arial"/>
          <w:szCs w:val="24"/>
        </w:rPr>
        <w:t>,</w:t>
      </w:r>
      <w:r w:rsidRPr="008217C5">
        <w:rPr>
          <w:rFonts w:ascii="Arial" w:hAnsi="Arial" w:cs="Arial"/>
          <w:szCs w:val="24"/>
        </w:rPr>
        <w:t xml:space="preserve"> for example, a third party is injured in a motor vehicle crash with another vehicle and the driver or the vehicle is either uninsured or cannot be identified.</w:t>
      </w:r>
      <w:bookmarkStart w:id="21" w:name="_Toc355181079"/>
      <w:bookmarkStart w:id="22" w:name="_Toc379793309"/>
    </w:p>
    <w:p w14:paraId="736D745C" w14:textId="77777777" w:rsidR="00371A85" w:rsidRPr="00983F6F" w:rsidRDefault="00371A85" w:rsidP="00371A85">
      <w:pPr>
        <w:ind w:right="-57"/>
        <w:jc w:val="left"/>
        <w:rPr>
          <w:rStyle w:val="CommentReference"/>
          <w:rFonts w:ascii="Arial" w:hAnsi="Arial" w:cs="Arial"/>
          <w:i/>
          <w:szCs w:val="24"/>
        </w:rPr>
      </w:pPr>
    </w:p>
    <w:p w14:paraId="4915EBAD" w14:textId="77777777" w:rsidR="00371A85" w:rsidRPr="009A7694" w:rsidRDefault="00371A85" w:rsidP="009A7694">
      <w:pPr>
        <w:pStyle w:val="ARHeading3"/>
        <w:rPr>
          <w:rStyle w:val="CommentReference"/>
          <w:sz w:val="28"/>
          <w:szCs w:val="28"/>
        </w:rPr>
      </w:pPr>
      <w:r w:rsidRPr="009A7694">
        <w:rPr>
          <w:rStyle w:val="CommentReference"/>
          <w:sz w:val="28"/>
          <w:szCs w:val="28"/>
        </w:rPr>
        <w:t>Catastrophic Injuries Support Scheme</w:t>
      </w:r>
    </w:p>
    <w:p w14:paraId="68FF283B" w14:textId="77777777" w:rsidR="00371A85" w:rsidRPr="008217C5" w:rsidRDefault="00371A85" w:rsidP="00371A85">
      <w:pPr>
        <w:pStyle w:val="NoParagraphStyle"/>
        <w:suppressAutoHyphens/>
        <w:spacing w:line="240" w:lineRule="auto"/>
        <w:rPr>
          <w:rFonts w:ascii="Arial" w:hAnsi="Arial" w:cs="Arial"/>
        </w:rPr>
      </w:pPr>
      <w:r w:rsidRPr="008217C5">
        <w:rPr>
          <w:rFonts w:ascii="Arial" w:hAnsi="Arial" w:cs="Arial"/>
        </w:rPr>
        <w:t>From 1 July 2016, any person that is catastrophically injured in a crash involving a registered motor vehicle in WA and is either at fault in the crash or unable to find another person at fault, can access lifetime treatment, care and support through the CIS scheme. Catastrophic injuries are</w:t>
      </w:r>
      <w:r>
        <w:rPr>
          <w:rFonts w:ascii="Arial" w:hAnsi="Arial" w:cs="Arial"/>
        </w:rPr>
        <w:t xml:space="preserve"> defined as</w:t>
      </w:r>
      <w:r w:rsidRPr="008217C5">
        <w:rPr>
          <w:rFonts w:ascii="Arial" w:hAnsi="Arial" w:cs="Arial"/>
        </w:rPr>
        <w:t xml:space="preserve"> spinal cord injuries, traumatic brain injuries, multiple amputations, severe burns and permanent traumatic blindness. </w:t>
      </w:r>
    </w:p>
    <w:p w14:paraId="1FB75E37" w14:textId="77777777" w:rsidR="00371A85" w:rsidRPr="008217C5" w:rsidRDefault="00371A85" w:rsidP="00371A85">
      <w:pPr>
        <w:ind w:right="-57"/>
        <w:jc w:val="left"/>
        <w:rPr>
          <w:rFonts w:ascii="Arial" w:hAnsi="Arial" w:cs="Arial"/>
          <w:szCs w:val="24"/>
        </w:rPr>
      </w:pPr>
    </w:p>
    <w:p w14:paraId="58A62458" w14:textId="77777777" w:rsidR="00371A85" w:rsidRPr="008217C5" w:rsidRDefault="00371A85" w:rsidP="00371A85">
      <w:pPr>
        <w:ind w:right="-57"/>
        <w:jc w:val="left"/>
        <w:rPr>
          <w:rFonts w:ascii="Arial" w:hAnsi="Arial" w:cs="Arial"/>
          <w:szCs w:val="24"/>
        </w:rPr>
      </w:pPr>
      <w:r w:rsidRPr="008217C5">
        <w:rPr>
          <w:rFonts w:ascii="Arial" w:hAnsi="Arial" w:cs="Arial"/>
          <w:szCs w:val="24"/>
        </w:rPr>
        <w:t xml:space="preserve">Insurance premium revenue for the CIS scheme is paid into the MVCIF. Together with investment income, this revenue is used to </w:t>
      </w:r>
      <w:r>
        <w:rPr>
          <w:rFonts w:ascii="Arial" w:hAnsi="Arial" w:cs="Arial"/>
          <w:szCs w:val="24"/>
        </w:rPr>
        <w:t xml:space="preserve">provide for the long term liabilities to </w:t>
      </w:r>
      <w:r w:rsidRPr="008217C5">
        <w:rPr>
          <w:rFonts w:ascii="Arial" w:hAnsi="Arial" w:cs="Arial"/>
          <w:szCs w:val="24"/>
        </w:rPr>
        <w:t xml:space="preserve">pay CIS claims and scheme administration costs. </w:t>
      </w:r>
    </w:p>
    <w:p w14:paraId="78CD1EEE" w14:textId="77777777" w:rsidR="00371A85" w:rsidRPr="008217C5" w:rsidRDefault="00371A85" w:rsidP="00371A85">
      <w:pPr>
        <w:ind w:right="-57"/>
        <w:jc w:val="left"/>
        <w:rPr>
          <w:rFonts w:ascii="Arial" w:hAnsi="Arial" w:cs="Arial"/>
          <w:i/>
          <w:szCs w:val="24"/>
        </w:rPr>
      </w:pPr>
    </w:p>
    <w:p w14:paraId="70287DEE" w14:textId="77777777" w:rsidR="00371A85" w:rsidRPr="00C908D4" w:rsidRDefault="00371A85" w:rsidP="009A7694">
      <w:pPr>
        <w:pStyle w:val="ARHeading3"/>
      </w:pPr>
      <w:r w:rsidRPr="00C908D4">
        <w:t xml:space="preserve">Indian Ocean Territories Motor Injury Insurance Scheme </w:t>
      </w:r>
    </w:p>
    <w:p w14:paraId="5C73FBD6" w14:textId="77777777" w:rsidR="00371A85" w:rsidRPr="008217C5" w:rsidRDefault="00371A85" w:rsidP="00371A85">
      <w:pPr>
        <w:ind w:right="-57"/>
        <w:jc w:val="left"/>
        <w:rPr>
          <w:rFonts w:ascii="Arial" w:hAnsi="Arial" w:cs="Arial"/>
          <w:szCs w:val="24"/>
        </w:rPr>
      </w:pPr>
      <w:r w:rsidRPr="008217C5">
        <w:rPr>
          <w:rFonts w:ascii="Arial" w:hAnsi="Arial" w:cs="Arial"/>
          <w:szCs w:val="24"/>
        </w:rPr>
        <w:t>The Insurance Commission, under a Service Delivery Arrangement with the Commonwealth Government, manages the Indian Ocean Territories Motor Injury Insurance Scheme, on a fee-for-service basis.</w:t>
      </w:r>
    </w:p>
    <w:p w14:paraId="7C846CC8" w14:textId="77777777" w:rsidR="00371A85" w:rsidRDefault="00371A85" w:rsidP="00371A85">
      <w:pPr>
        <w:keepNext/>
        <w:jc w:val="left"/>
        <w:rPr>
          <w:rFonts w:ascii="Arial" w:hAnsi="Arial" w:cs="Arial"/>
          <w:b/>
          <w:color w:val="00649D"/>
          <w:sz w:val="28"/>
        </w:rPr>
      </w:pPr>
      <w:bookmarkStart w:id="23" w:name="_Toc390680566"/>
    </w:p>
    <w:p w14:paraId="7F4E220C" w14:textId="77777777" w:rsidR="00371A85" w:rsidRPr="00C908D4" w:rsidRDefault="00371A85" w:rsidP="009A7694">
      <w:pPr>
        <w:pStyle w:val="ARHeading3"/>
      </w:pPr>
      <w:r w:rsidRPr="00C908D4">
        <w:t>2.4.2</w:t>
      </w:r>
      <w:r w:rsidRPr="00C908D4">
        <w:tab/>
        <w:t xml:space="preserve">RiskCover </w:t>
      </w:r>
      <w:bookmarkEnd w:id="21"/>
      <w:bookmarkEnd w:id="22"/>
      <w:bookmarkEnd w:id="23"/>
      <w:r w:rsidRPr="00C908D4">
        <w:t>Division</w:t>
      </w:r>
    </w:p>
    <w:p w14:paraId="737D2E0D" w14:textId="77777777" w:rsidR="00371A85" w:rsidRDefault="00371A85" w:rsidP="00371A85">
      <w:pPr>
        <w:keepNext/>
        <w:keepLines/>
        <w:ind w:right="-57"/>
        <w:jc w:val="left"/>
        <w:rPr>
          <w:rFonts w:ascii="Arial" w:hAnsi="Arial" w:cs="Arial"/>
        </w:rPr>
      </w:pPr>
      <w:r w:rsidRPr="00983F6F">
        <w:rPr>
          <w:rFonts w:ascii="Arial" w:hAnsi="Arial" w:cs="Arial"/>
        </w:rPr>
        <w:t xml:space="preserve">The RiskCover Division manages and administers a number of insurance functions for the State Government. </w:t>
      </w:r>
    </w:p>
    <w:p w14:paraId="245CA721" w14:textId="77777777" w:rsidR="00371A85" w:rsidRDefault="00371A85" w:rsidP="00371A85">
      <w:pPr>
        <w:keepNext/>
        <w:keepLines/>
        <w:ind w:right="-57"/>
        <w:jc w:val="left"/>
        <w:rPr>
          <w:rFonts w:ascii="Arial" w:hAnsi="Arial" w:cs="Arial"/>
        </w:rPr>
      </w:pPr>
    </w:p>
    <w:p w14:paraId="118460F4" w14:textId="77777777" w:rsidR="00371A85" w:rsidRPr="00983F6F" w:rsidRDefault="00371A85" w:rsidP="00371A85">
      <w:pPr>
        <w:keepNext/>
        <w:keepLines/>
        <w:ind w:right="-57"/>
        <w:jc w:val="left"/>
        <w:rPr>
          <w:rFonts w:ascii="Arial" w:hAnsi="Arial" w:cs="Arial"/>
        </w:rPr>
      </w:pPr>
      <w:r>
        <w:rPr>
          <w:rFonts w:ascii="Arial" w:hAnsi="Arial" w:cs="Arial"/>
        </w:rPr>
        <w:t>The Division’s core responsibilities include underwriting and managing claims on behalf of government agencies in the RiskCover Fund. The Division manages the reinsurance arrangements for the RiskCover Fund, Third Party Insurance Fund and Motor Vehicle (Catastrophic Injuries) Fund.</w:t>
      </w:r>
    </w:p>
    <w:p w14:paraId="1E881A74" w14:textId="77777777" w:rsidR="00371A85" w:rsidRPr="00983F6F" w:rsidRDefault="00371A85" w:rsidP="00371A85">
      <w:pPr>
        <w:keepNext/>
        <w:keepLines/>
        <w:ind w:right="-57"/>
        <w:jc w:val="left"/>
        <w:rPr>
          <w:rFonts w:ascii="Arial" w:hAnsi="Arial" w:cs="Arial"/>
        </w:rPr>
      </w:pPr>
    </w:p>
    <w:p w14:paraId="666B9540" w14:textId="77777777" w:rsidR="00371A85" w:rsidRPr="00983F6F" w:rsidRDefault="00371A85" w:rsidP="00371A85">
      <w:pPr>
        <w:keepNext/>
        <w:keepLines/>
        <w:ind w:right="-57"/>
        <w:jc w:val="left"/>
        <w:rPr>
          <w:rFonts w:ascii="Arial" w:hAnsi="Arial" w:cs="Arial"/>
        </w:rPr>
      </w:pPr>
      <w:r w:rsidRPr="00983F6F">
        <w:rPr>
          <w:rFonts w:ascii="Arial" w:hAnsi="Arial" w:cs="Arial"/>
        </w:rPr>
        <w:t>Financial assets are invested by the Insurance Commission on behalf of Government to meet insurance liabilities.</w:t>
      </w:r>
    </w:p>
    <w:p w14:paraId="4849B288" w14:textId="77777777" w:rsidR="00371A85" w:rsidRPr="00983F6F" w:rsidRDefault="00371A85" w:rsidP="00371A85">
      <w:pPr>
        <w:jc w:val="left"/>
        <w:rPr>
          <w:rFonts w:ascii="Arial" w:hAnsi="Arial" w:cs="Arial"/>
          <w:i/>
        </w:rPr>
      </w:pPr>
      <w:bookmarkStart w:id="24" w:name="_Toc355181080"/>
      <w:bookmarkStart w:id="25" w:name="_Toc379793310"/>
    </w:p>
    <w:p w14:paraId="4E52F607" w14:textId="77777777" w:rsidR="00371A85" w:rsidRPr="003C6095" w:rsidRDefault="00371A85" w:rsidP="009A7694">
      <w:pPr>
        <w:pStyle w:val="ARHeading3"/>
      </w:pPr>
      <w:r w:rsidRPr="003C6095">
        <w:t>RiskCover Fund</w:t>
      </w:r>
      <w:bookmarkEnd w:id="24"/>
      <w:bookmarkEnd w:id="25"/>
    </w:p>
    <w:p w14:paraId="5FB55697" w14:textId="77777777" w:rsidR="00371A85" w:rsidRPr="00983F6F" w:rsidRDefault="00371A85" w:rsidP="00371A85">
      <w:pPr>
        <w:ind w:right="-57"/>
        <w:jc w:val="left"/>
        <w:rPr>
          <w:rFonts w:ascii="Arial" w:hAnsi="Arial" w:cs="Arial"/>
        </w:rPr>
      </w:pPr>
      <w:r w:rsidRPr="00983F6F">
        <w:rPr>
          <w:rFonts w:ascii="Arial" w:hAnsi="Arial" w:cs="Arial"/>
        </w:rPr>
        <w:t xml:space="preserve">The </w:t>
      </w:r>
      <w:r w:rsidRPr="00983F6F">
        <w:rPr>
          <w:rFonts w:ascii="Arial" w:hAnsi="Arial" w:cs="Arial"/>
          <w:bCs/>
        </w:rPr>
        <w:t>RiskCover Fund</w:t>
      </w:r>
      <w:r w:rsidRPr="00983F6F">
        <w:rPr>
          <w:rFonts w:ascii="Arial" w:hAnsi="Arial" w:cs="Arial"/>
        </w:rPr>
        <w:t xml:space="preserve"> is the self-insurance arrangement for WA Government public authorities (agencies). RiskCover provides cover for the majority of agencies’ insurable risk exposures including: </w:t>
      </w:r>
    </w:p>
    <w:p w14:paraId="4AC7B5D9" w14:textId="77777777" w:rsidR="00371A85" w:rsidRPr="003C6095" w:rsidRDefault="00371A85" w:rsidP="00371A85">
      <w:pPr>
        <w:pStyle w:val="ListParagraph"/>
        <w:numPr>
          <w:ilvl w:val="0"/>
          <w:numId w:val="13"/>
        </w:numPr>
        <w:ind w:right="-57"/>
        <w:rPr>
          <w:rFonts w:ascii="Arial" w:hAnsi="Arial" w:cs="Arial"/>
        </w:rPr>
      </w:pPr>
      <w:r w:rsidRPr="003C6095">
        <w:rPr>
          <w:rFonts w:ascii="Arial" w:hAnsi="Arial" w:cs="Arial"/>
        </w:rPr>
        <w:t xml:space="preserve">workers’ compensation; </w:t>
      </w:r>
    </w:p>
    <w:p w14:paraId="6A981B3F" w14:textId="77777777" w:rsidR="00371A85" w:rsidRPr="003C6095" w:rsidRDefault="00371A85" w:rsidP="00371A85">
      <w:pPr>
        <w:pStyle w:val="ListParagraph"/>
        <w:numPr>
          <w:ilvl w:val="0"/>
          <w:numId w:val="13"/>
        </w:numPr>
        <w:ind w:right="-57"/>
        <w:rPr>
          <w:rFonts w:ascii="Arial" w:hAnsi="Arial" w:cs="Arial"/>
        </w:rPr>
      </w:pPr>
      <w:r w:rsidRPr="003C6095">
        <w:rPr>
          <w:rFonts w:ascii="Arial" w:hAnsi="Arial" w:cs="Arial"/>
        </w:rPr>
        <w:t xml:space="preserve">loss or damage to property; </w:t>
      </w:r>
    </w:p>
    <w:p w14:paraId="685A42C9" w14:textId="77777777" w:rsidR="00371A85" w:rsidRDefault="00371A85" w:rsidP="00371A85">
      <w:pPr>
        <w:pStyle w:val="ListParagraph"/>
        <w:numPr>
          <w:ilvl w:val="0"/>
          <w:numId w:val="13"/>
        </w:numPr>
        <w:ind w:right="-57"/>
        <w:rPr>
          <w:rFonts w:ascii="Arial" w:hAnsi="Arial" w:cs="Arial"/>
        </w:rPr>
      </w:pPr>
      <w:r w:rsidRPr="003C6095">
        <w:rPr>
          <w:rFonts w:ascii="Arial" w:hAnsi="Arial" w:cs="Arial"/>
        </w:rPr>
        <w:t>legal liability cover for general, profess</w:t>
      </w:r>
      <w:r>
        <w:rPr>
          <w:rFonts w:ascii="Arial" w:hAnsi="Arial" w:cs="Arial"/>
        </w:rPr>
        <w:t>ional and medical treatment;</w:t>
      </w:r>
    </w:p>
    <w:p w14:paraId="69C0FF5F" w14:textId="77777777" w:rsidR="00371A85" w:rsidRPr="003C6095" w:rsidRDefault="00371A85" w:rsidP="00371A85">
      <w:pPr>
        <w:pStyle w:val="ListParagraph"/>
        <w:numPr>
          <w:ilvl w:val="0"/>
          <w:numId w:val="13"/>
        </w:numPr>
        <w:ind w:right="-57"/>
        <w:rPr>
          <w:rFonts w:ascii="Arial" w:hAnsi="Arial" w:cs="Arial"/>
        </w:rPr>
      </w:pPr>
      <w:r>
        <w:rPr>
          <w:rFonts w:ascii="Arial" w:hAnsi="Arial" w:cs="Arial"/>
        </w:rPr>
        <w:t>cyber risks; and</w:t>
      </w:r>
    </w:p>
    <w:p w14:paraId="2C11BDFF" w14:textId="77777777" w:rsidR="00371A85" w:rsidRPr="003C6095" w:rsidRDefault="00371A85" w:rsidP="00371A85">
      <w:pPr>
        <w:pStyle w:val="ListParagraph"/>
        <w:numPr>
          <w:ilvl w:val="0"/>
          <w:numId w:val="13"/>
        </w:numPr>
        <w:ind w:right="-57"/>
        <w:rPr>
          <w:rFonts w:ascii="Arial" w:hAnsi="Arial" w:cs="Arial"/>
        </w:rPr>
      </w:pPr>
      <w:proofErr w:type="gramStart"/>
      <w:r w:rsidRPr="003C6095">
        <w:rPr>
          <w:rFonts w:ascii="Arial" w:hAnsi="Arial" w:cs="Arial"/>
        </w:rPr>
        <w:t>personal</w:t>
      </w:r>
      <w:proofErr w:type="gramEnd"/>
      <w:r w:rsidRPr="003C6095">
        <w:rPr>
          <w:rFonts w:ascii="Arial" w:hAnsi="Arial" w:cs="Arial"/>
        </w:rPr>
        <w:t xml:space="preserve"> accidents.</w:t>
      </w:r>
    </w:p>
    <w:p w14:paraId="3FB2BB59" w14:textId="77777777" w:rsidR="00371A85" w:rsidRPr="00983F6F" w:rsidRDefault="00371A85" w:rsidP="00371A85">
      <w:pPr>
        <w:jc w:val="left"/>
        <w:rPr>
          <w:rFonts w:ascii="Arial" w:hAnsi="Arial" w:cs="Arial"/>
        </w:rPr>
      </w:pPr>
      <w:bookmarkStart w:id="26" w:name="_Toc355181081"/>
      <w:bookmarkStart w:id="27" w:name="_Toc379793311"/>
    </w:p>
    <w:p w14:paraId="46CA2BC2" w14:textId="77777777" w:rsidR="00371A85" w:rsidRPr="00C908D4" w:rsidRDefault="00371A85" w:rsidP="009A7694">
      <w:pPr>
        <w:pStyle w:val="ARHeading3"/>
      </w:pPr>
      <w:r w:rsidRPr="00C908D4">
        <w:t xml:space="preserve">Government Insurance Fund </w:t>
      </w:r>
      <w:bookmarkEnd w:id="26"/>
      <w:bookmarkEnd w:id="27"/>
    </w:p>
    <w:p w14:paraId="54FD96EE" w14:textId="77777777" w:rsidR="00371A85" w:rsidRPr="00983F6F" w:rsidRDefault="00371A85" w:rsidP="00371A85">
      <w:pPr>
        <w:autoSpaceDE w:val="0"/>
        <w:autoSpaceDN w:val="0"/>
        <w:adjustRightInd w:val="0"/>
        <w:jc w:val="left"/>
        <w:rPr>
          <w:rFonts w:ascii="Arial" w:hAnsi="Arial" w:cs="Arial"/>
          <w:lang w:eastAsia="en-AU"/>
        </w:rPr>
      </w:pPr>
      <w:r w:rsidRPr="00983F6F">
        <w:rPr>
          <w:rFonts w:ascii="Arial" w:hAnsi="Arial" w:cs="Arial"/>
          <w:lang w:eastAsia="en-AU"/>
        </w:rPr>
        <w:t xml:space="preserve">The Government Insurance Fund (GIF) is the Government’s superseded self-insurance arrangement that preceded RiskCover. The Fund is in run-off and RiskCover manages claims received against it on behalf of Government. </w:t>
      </w:r>
    </w:p>
    <w:p w14:paraId="1F94000E" w14:textId="77777777" w:rsidR="00371A85" w:rsidRPr="00983F6F" w:rsidRDefault="00371A85" w:rsidP="00371A85">
      <w:pPr>
        <w:autoSpaceDE w:val="0"/>
        <w:autoSpaceDN w:val="0"/>
        <w:adjustRightInd w:val="0"/>
        <w:jc w:val="left"/>
        <w:rPr>
          <w:rFonts w:ascii="Arial" w:hAnsi="Arial" w:cs="Arial"/>
        </w:rPr>
      </w:pPr>
    </w:p>
    <w:p w14:paraId="0BD2D987" w14:textId="77777777" w:rsidR="00371A85" w:rsidRPr="00983F6F" w:rsidRDefault="00371A85" w:rsidP="00371A85">
      <w:pPr>
        <w:autoSpaceDE w:val="0"/>
        <w:autoSpaceDN w:val="0"/>
        <w:adjustRightInd w:val="0"/>
        <w:jc w:val="left"/>
        <w:rPr>
          <w:rFonts w:ascii="Arial" w:hAnsi="Arial" w:cs="Arial"/>
        </w:rPr>
      </w:pPr>
      <w:r w:rsidRPr="00983F6F">
        <w:rPr>
          <w:rFonts w:ascii="Arial" w:hAnsi="Arial" w:cs="Arial"/>
        </w:rPr>
        <w:t xml:space="preserve">The WA </w:t>
      </w:r>
      <w:r>
        <w:rPr>
          <w:rFonts w:ascii="Arial" w:hAnsi="Arial" w:cs="Arial"/>
        </w:rPr>
        <w:t>Government</w:t>
      </w:r>
      <w:r w:rsidRPr="00983F6F">
        <w:rPr>
          <w:rFonts w:ascii="Arial" w:hAnsi="Arial" w:cs="Arial"/>
        </w:rPr>
        <w:t xml:space="preserve"> has financial responsibility for any deficit in the GIF and its liabilities via a Right of Indemnity Agreement.</w:t>
      </w:r>
    </w:p>
    <w:p w14:paraId="32EFCB9D" w14:textId="77777777" w:rsidR="00371A85" w:rsidRPr="00983F6F" w:rsidRDefault="00371A85" w:rsidP="00371A85">
      <w:pPr>
        <w:autoSpaceDE w:val="0"/>
        <w:autoSpaceDN w:val="0"/>
        <w:adjustRightInd w:val="0"/>
        <w:jc w:val="left"/>
        <w:rPr>
          <w:rFonts w:ascii="Arial" w:hAnsi="Arial" w:cs="Arial"/>
          <w:i/>
        </w:rPr>
      </w:pPr>
      <w:bookmarkStart w:id="28" w:name="_Toc355181082"/>
      <w:bookmarkStart w:id="29" w:name="_Toc379793312"/>
    </w:p>
    <w:p w14:paraId="34630906" w14:textId="77777777" w:rsidR="00371A85" w:rsidRPr="00C908D4" w:rsidRDefault="00371A85" w:rsidP="009A7694">
      <w:pPr>
        <w:pStyle w:val="ARHeading3"/>
      </w:pPr>
      <w:r w:rsidRPr="00C908D4">
        <w:t xml:space="preserve">Compensation (Industrial Diseases) Fund </w:t>
      </w:r>
      <w:bookmarkEnd w:id="28"/>
      <w:bookmarkEnd w:id="29"/>
    </w:p>
    <w:p w14:paraId="565DED7D" w14:textId="77777777" w:rsidR="00371A85" w:rsidRPr="00983F6F" w:rsidRDefault="00371A85" w:rsidP="00371A85">
      <w:pPr>
        <w:ind w:right="-57"/>
        <w:jc w:val="left"/>
        <w:rPr>
          <w:rFonts w:ascii="Arial" w:hAnsi="Arial" w:cs="Arial"/>
        </w:rPr>
      </w:pPr>
      <w:r w:rsidRPr="00983F6F">
        <w:rPr>
          <w:rFonts w:ascii="Arial" w:hAnsi="Arial" w:cs="Arial"/>
        </w:rPr>
        <w:t>The Insurance Commission issues industrial diseases insurance policies to employers involved in the mining industry and pays claims against these policies. The liabilities are underwritten by the Insurance Commission and claims are paid from the Compensation (Industrial Diseases) Fund (CIDF).</w:t>
      </w:r>
    </w:p>
    <w:p w14:paraId="6C6CCB18" w14:textId="77777777" w:rsidR="00371A85" w:rsidRPr="00983F6F" w:rsidRDefault="00371A85" w:rsidP="00371A85">
      <w:pPr>
        <w:ind w:right="-57"/>
        <w:jc w:val="left"/>
        <w:rPr>
          <w:rFonts w:ascii="Arial" w:hAnsi="Arial" w:cs="Arial"/>
          <w:i/>
          <w:iCs/>
        </w:rPr>
      </w:pPr>
    </w:p>
    <w:p w14:paraId="24B84D22" w14:textId="77777777" w:rsidR="00371A85" w:rsidRPr="00C908D4" w:rsidRDefault="00371A85" w:rsidP="009A7694">
      <w:pPr>
        <w:pStyle w:val="ARHeading3"/>
      </w:pPr>
      <w:r w:rsidRPr="00C908D4">
        <w:t xml:space="preserve">Insurance Commission General Fund </w:t>
      </w:r>
    </w:p>
    <w:p w14:paraId="4D73DD1B" w14:textId="77777777" w:rsidR="00371A85" w:rsidRPr="00983F6F" w:rsidRDefault="00371A85" w:rsidP="00371A85">
      <w:pPr>
        <w:ind w:right="-57"/>
        <w:jc w:val="left"/>
        <w:rPr>
          <w:rFonts w:ascii="Arial" w:hAnsi="Arial" w:cs="Arial"/>
        </w:rPr>
      </w:pPr>
      <w:r w:rsidRPr="00983F6F">
        <w:rPr>
          <w:rFonts w:ascii="Arial" w:hAnsi="Arial" w:cs="Arial"/>
        </w:rPr>
        <w:t xml:space="preserve">The Insurance Commission General Fund (ICGF) caters for the run-off of non-government liabilities of the former SGIO. No policies have been issued since 1987. Liabilities relate to workers' compensation and public liability claims, including claims against the mining industry for asbestos related diseases (not covered by the CIDF). </w:t>
      </w:r>
    </w:p>
    <w:p w14:paraId="70F620C9" w14:textId="77777777" w:rsidR="00371A85" w:rsidRPr="00983F6F" w:rsidRDefault="00371A85" w:rsidP="00371A85">
      <w:pPr>
        <w:ind w:right="-57"/>
        <w:jc w:val="left"/>
        <w:rPr>
          <w:rFonts w:ascii="Arial" w:hAnsi="Arial" w:cs="Arial"/>
        </w:rPr>
      </w:pPr>
    </w:p>
    <w:p w14:paraId="2D549FE7" w14:textId="77777777" w:rsidR="00371A85" w:rsidRPr="00983F6F" w:rsidRDefault="00371A85" w:rsidP="00371A85">
      <w:pPr>
        <w:ind w:right="-57"/>
        <w:jc w:val="left"/>
        <w:rPr>
          <w:rFonts w:ascii="Arial" w:hAnsi="Arial" w:cs="Arial"/>
        </w:rPr>
      </w:pPr>
      <w:r w:rsidRPr="00983F6F">
        <w:rPr>
          <w:rFonts w:ascii="Arial" w:hAnsi="Arial" w:cs="Arial"/>
        </w:rPr>
        <w:t xml:space="preserve">The ICGF acts as the operating fund of the Insurance Commission. Investment assets are held within the ICGF and then allocated to other funds. Insurance Commission assets for its own use are held within the ICGF. </w:t>
      </w:r>
    </w:p>
    <w:p w14:paraId="22873584" w14:textId="77777777" w:rsidR="00371A85" w:rsidRPr="00983F6F" w:rsidRDefault="00371A85" w:rsidP="00371A85">
      <w:pPr>
        <w:jc w:val="left"/>
        <w:rPr>
          <w:rFonts w:ascii="Arial" w:hAnsi="Arial" w:cs="Arial"/>
          <w:i/>
        </w:rPr>
      </w:pPr>
    </w:p>
    <w:p w14:paraId="381CBF34" w14:textId="77777777" w:rsidR="00371A85" w:rsidRPr="00C908D4" w:rsidRDefault="00371A85" w:rsidP="009A7694">
      <w:pPr>
        <w:pStyle w:val="ARHeading3"/>
      </w:pPr>
      <w:r w:rsidRPr="00C908D4">
        <w:t>WorkCover WA Funds</w:t>
      </w:r>
    </w:p>
    <w:p w14:paraId="41DFF4D9" w14:textId="77777777" w:rsidR="00371A85" w:rsidRPr="00983F6F" w:rsidRDefault="00371A85" w:rsidP="00371A85">
      <w:pPr>
        <w:ind w:right="-57"/>
        <w:jc w:val="left"/>
        <w:rPr>
          <w:rFonts w:ascii="Arial" w:hAnsi="Arial" w:cs="Arial"/>
        </w:rPr>
      </w:pPr>
      <w:r w:rsidRPr="00983F6F">
        <w:rPr>
          <w:rFonts w:ascii="Arial" w:hAnsi="Arial" w:cs="Arial"/>
        </w:rPr>
        <w:lastRenderedPageBreak/>
        <w:t xml:space="preserve">WorkCover WA manages the </w:t>
      </w:r>
      <w:r w:rsidRPr="00983F6F">
        <w:rPr>
          <w:rFonts w:ascii="Arial" w:hAnsi="Arial" w:cs="Arial"/>
          <w:bCs/>
        </w:rPr>
        <w:t xml:space="preserve">Employers’ Indemnity Supplementation Fund (EISF). The Insurance Commission manages claims against this Fund in the event that an authorised workers’ compensation insurer goes into liquidation. WorkCover WA invokes a levy on workers’ compensation policyholders to fund EISF liabilities. The majority of existing EISF liabilities arose from the collapse of </w:t>
      </w:r>
      <w:r w:rsidRPr="00983F6F">
        <w:rPr>
          <w:rFonts w:ascii="Arial" w:hAnsi="Arial" w:cs="Arial"/>
        </w:rPr>
        <w:t>the HIH Group of companies in 2001.</w:t>
      </w:r>
    </w:p>
    <w:p w14:paraId="47C10332" w14:textId="77777777" w:rsidR="00371A85" w:rsidRPr="00983F6F" w:rsidRDefault="00371A85" w:rsidP="00371A85">
      <w:pPr>
        <w:ind w:right="-57"/>
        <w:jc w:val="left"/>
        <w:rPr>
          <w:rFonts w:ascii="Arial" w:hAnsi="Arial" w:cs="Arial"/>
        </w:rPr>
      </w:pPr>
    </w:p>
    <w:p w14:paraId="52A47140" w14:textId="77777777" w:rsidR="00371A85" w:rsidRPr="00983F6F" w:rsidRDefault="00371A85" w:rsidP="00371A85">
      <w:pPr>
        <w:ind w:right="-57"/>
        <w:jc w:val="left"/>
        <w:rPr>
          <w:rFonts w:ascii="Arial" w:hAnsi="Arial" w:cs="Arial"/>
        </w:rPr>
      </w:pPr>
      <w:r>
        <w:rPr>
          <w:rFonts w:ascii="Arial" w:hAnsi="Arial" w:cs="Arial"/>
        </w:rPr>
        <w:t xml:space="preserve">The </w:t>
      </w:r>
      <w:r w:rsidRPr="00983F6F">
        <w:rPr>
          <w:rFonts w:ascii="Arial" w:hAnsi="Arial" w:cs="Arial"/>
        </w:rPr>
        <w:t xml:space="preserve">RiskCover </w:t>
      </w:r>
      <w:r>
        <w:rPr>
          <w:rFonts w:ascii="Arial" w:hAnsi="Arial" w:cs="Arial"/>
        </w:rPr>
        <w:t xml:space="preserve">Division </w:t>
      </w:r>
      <w:r w:rsidRPr="00983F6F">
        <w:rPr>
          <w:rFonts w:ascii="Arial" w:hAnsi="Arial" w:cs="Arial"/>
        </w:rPr>
        <w:t>also manages claims lodged against WorkCover WA’s General Fund, mainly for injured workers of uninsured employers.</w:t>
      </w:r>
    </w:p>
    <w:p w14:paraId="09998729" w14:textId="77777777" w:rsidR="00371A85" w:rsidRPr="00983F6F" w:rsidRDefault="00371A85" w:rsidP="00371A85">
      <w:pPr>
        <w:ind w:right="-57"/>
        <w:jc w:val="left"/>
        <w:rPr>
          <w:rFonts w:ascii="Arial" w:hAnsi="Arial" w:cs="Arial"/>
          <w:bCs/>
        </w:rPr>
      </w:pPr>
    </w:p>
    <w:p w14:paraId="61E2DA61" w14:textId="77777777" w:rsidR="00371A85" w:rsidRPr="00C908D4" w:rsidRDefault="00371A85" w:rsidP="009A7694">
      <w:pPr>
        <w:pStyle w:val="ARHeading3"/>
      </w:pPr>
      <w:bookmarkStart w:id="30" w:name="_Toc355181085"/>
      <w:bookmarkStart w:id="31" w:name="_Toc379793315"/>
      <w:bookmarkStart w:id="32" w:name="_Toc304549732"/>
      <w:bookmarkStart w:id="33" w:name="_Toc354388602"/>
      <w:bookmarkStart w:id="34" w:name="_Toc355166764"/>
      <w:r w:rsidRPr="00C908D4">
        <w:t>Former Police Officers’ Medical Benefit Scheme</w:t>
      </w:r>
      <w:bookmarkEnd w:id="30"/>
      <w:bookmarkEnd w:id="31"/>
    </w:p>
    <w:p w14:paraId="56E094B4" w14:textId="77777777" w:rsidR="00371A85" w:rsidRPr="00983F6F" w:rsidRDefault="00371A85" w:rsidP="00371A85">
      <w:pPr>
        <w:ind w:right="-57"/>
        <w:jc w:val="left"/>
        <w:rPr>
          <w:rFonts w:ascii="Arial" w:hAnsi="Arial" w:cs="Arial"/>
        </w:rPr>
      </w:pPr>
      <w:r w:rsidRPr="00983F6F">
        <w:rPr>
          <w:rFonts w:ascii="Arial" w:hAnsi="Arial" w:cs="Arial"/>
        </w:rPr>
        <w:t xml:space="preserve">The </w:t>
      </w:r>
      <w:r w:rsidRPr="00983F6F">
        <w:rPr>
          <w:rFonts w:ascii="Arial" w:hAnsi="Arial" w:cs="Arial"/>
          <w:i/>
        </w:rPr>
        <w:t>Police (Former Officers' Medical and Other Expenses) Act 2008</w:t>
      </w:r>
      <w:r w:rsidRPr="00983F6F">
        <w:rPr>
          <w:rFonts w:ascii="Arial" w:hAnsi="Arial" w:cs="Arial"/>
        </w:rPr>
        <w:t xml:space="preserve"> was enacted to cater for medical and other expenses incurred post-separation by former Police Officers and Aboriginal Police Liaison Officers who sustained a work-related injury or disease during service and have since left </w:t>
      </w:r>
      <w:r>
        <w:rPr>
          <w:rFonts w:ascii="Arial" w:hAnsi="Arial" w:cs="Arial"/>
        </w:rPr>
        <w:t>the Western Australia Police Force</w:t>
      </w:r>
      <w:r w:rsidRPr="00983F6F">
        <w:rPr>
          <w:rFonts w:ascii="Arial" w:hAnsi="Arial" w:cs="Arial"/>
        </w:rPr>
        <w:t xml:space="preserve">. </w:t>
      </w:r>
      <w:r w:rsidRPr="0099285D">
        <w:rPr>
          <w:rFonts w:ascii="Arial" w:hAnsi="Arial" w:cs="Arial"/>
        </w:rPr>
        <w:t xml:space="preserve">Medical and other benefits provided under the Scheme largely mirror those of the </w:t>
      </w:r>
      <w:r w:rsidRPr="0099285D">
        <w:rPr>
          <w:rFonts w:ascii="Arial" w:hAnsi="Arial" w:cs="Arial"/>
          <w:i/>
        </w:rPr>
        <w:t>Workers’ Compensation and Injury management Act 1981</w:t>
      </w:r>
      <w:r w:rsidRPr="0099285D">
        <w:rPr>
          <w:rFonts w:ascii="Arial" w:hAnsi="Arial" w:cs="Arial"/>
        </w:rPr>
        <w:t xml:space="preserve">. </w:t>
      </w:r>
      <w:r w:rsidRPr="00983F6F">
        <w:rPr>
          <w:rFonts w:ascii="Arial" w:hAnsi="Arial" w:cs="Arial"/>
        </w:rPr>
        <w:t xml:space="preserve">The Police Commissioner is liable for medical and other expenses incurred, and appointed the Insurance Commission to manage claims on behalf of </w:t>
      </w:r>
      <w:r>
        <w:rPr>
          <w:rFonts w:ascii="Arial" w:hAnsi="Arial" w:cs="Arial"/>
        </w:rPr>
        <w:t xml:space="preserve">the </w:t>
      </w:r>
      <w:r w:rsidRPr="00983F6F">
        <w:rPr>
          <w:rFonts w:ascii="Arial" w:hAnsi="Arial" w:cs="Arial"/>
        </w:rPr>
        <w:t>Western Australia Police</w:t>
      </w:r>
      <w:r>
        <w:rPr>
          <w:rFonts w:ascii="Arial" w:hAnsi="Arial" w:cs="Arial"/>
        </w:rPr>
        <w:t xml:space="preserve"> Force</w:t>
      </w:r>
      <w:r w:rsidRPr="00983F6F">
        <w:rPr>
          <w:rFonts w:ascii="Arial" w:hAnsi="Arial" w:cs="Arial"/>
        </w:rPr>
        <w:t xml:space="preserve">. </w:t>
      </w:r>
      <w:r w:rsidRPr="00983F6F">
        <w:rPr>
          <w:rFonts w:ascii="Arial" w:hAnsi="Arial" w:cs="Arial"/>
        </w:rPr>
        <w:br/>
      </w:r>
    </w:p>
    <w:p w14:paraId="00B59297" w14:textId="77777777" w:rsidR="00371A85" w:rsidRPr="00C908D4" w:rsidRDefault="00371A85" w:rsidP="009A7694">
      <w:pPr>
        <w:pStyle w:val="ARHeading3"/>
      </w:pPr>
      <w:bookmarkStart w:id="35" w:name="_Toc379793316"/>
      <w:bookmarkStart w:id="36" w:name="_Toc390680567"/>
      <w:r w:rsidRPr="00C908D4">
        <w:t>2.4.3</w:t>
      </w:r>
      <w:r w:rsidRPr="00C908D4">
        <w:tab/>
        <w:t>Investments</w:t>
      </w:r>
      <w:bookmarkEnd w:id="32"/>
      <w:r w:rsidRPr="00C908D4">
        <w:t xml:space="preserve"> </w:t>
      </w:r>
      <w:bookmarkEnd w:id="33"/>
      <w:bookmarkEnd w:id="34"/>
      <w:bookmarkEnd w:id="35"/>
      <w:bookmarkEnd w:id="36"/>
    </w:p>
    <w:p w14:paraId="50C54C1F" w14:textId="77777777" w:rsidR="00371A85" w:rsidRPr="00C908D4" w:rsidRDefault="00371A85" w:rsidP="00371A85">
      <w:pPr>
        <w:pStyle w:val="MaintextStyleGroup1"/>
        <w:spacing w:line="240" w:lineRule="auto"/>
        <w:contextualSpacing/>
      </w:pPr>
      <w:r w:rsidRPr="00C908D4">
        <w:t>The Insurance Commission, assisted by its independent investment consultant, deter</w:t>
      </w:r>
      <w:r>
        <w:t>mines a strategy to assist it</w:t>
      </w:r>
      <w:r w:rsidRPr="00C908D4">
        <w:t xml:space="preserve"> invest in assets to meet its insurance liabilities in line with prudential guidelines approved by the Treasurer.</w:t>
      </w:r>
    </w:p>
    <w:p w14:paraId="3C0633FB" w14:textId="77777777" w:rsidR="00371A85" w:rsidRPr="00C908D4" w:rsidRDefault="00371A85" w:rsidP="00371A85">
      <w:pPr>
        <w:pStyle w:val="NormalWeb"/>
        <w:spacing w:before="0" w:beforeAutospacing="0" w:after="0" w:afterAutospacing="0"/>
        <w:contextualSpacing/>
        <w:rPr>
          <w:rFonts w:ascii="Arial" w:hAnsi="Arial" w:cs="Arial"/>
        </w:rPr>
      </w:pPr>
    </w:p>
    <w:p w14:paraId="5504E6A5" w14:textId="77777777" w:rsidR="00371A85" w:rsidRPr="00C908D4" w:rsidRDefault="00371A85" w:rsidP="00371A85">
      <w:pPr>
        <w:pStyle w:val="NormalWeb"/>
        <w:spacing w:before="0" w:beforeAutospacing="0" w:after="0" w:afterAutospacing="0"/>
        <w:contextualSpacing/>
        <w:rPr>
          <w:rFonts w:ascii="Arial" w:hAnsi="Arial" w:cs="Arial"/>
        </w:rPr>
      </w:pPr>
      <w:r w:rsidRPr="00C908D4">
        <w:rPr>
          <w:rFonts w:ascii="Arial" w:hAnsi="Arial" w:cs="Arial"/>
        </w:rPr>
        <w:t>The Insurance Commis</w:t>
      </w:r>
      <w:r>
        <w:rPr>
          <w:rFonts w:ascii="Arial" w:hAnsi="Arial" w:cs="Arial"/>
        </w:rPr>
        <w:t>sion’s investment objectives for 2018 were</w:t>
      </w:r>
      <w:r w:rsidRPr="00C908D4">
        <w:rPr>
          <w:rFonts w:ascii="Arial" w:hAnsi="Arial" w:cs="Arial"/>
        </w:rPr>
        <w:t xml:space="preserve"> to:</w:t>
      </w:r>
    </w:p>
    <w:p w14:paraId="38112634" w14:textId="77777777" w:rsidR="00371A85" w:rsidRDefault="00371A85" w:rsidP="00371A85">
      <w:pPr>
        <w:pStyle w:val="ListParagraph"/>
        <w:numPr>
          <w:ilvl w:val="0"/>
          <w:numId w:val="1"/>
        </w:numPr>
        <w:ind w:right="-57"/>
        <w:rPr>
          <w:rFonts w:ascii="Arial" w:hAnsi="Arial" w:cs="Arial"/>
        </w:rPr>
      </w:pPr>
      <w:r w:rsidRPr="00414256">
        <w:rPr>
          <w:rFonts w:ascii="Arial" w:hAnsi="Arial" w:cs="Arial"/>
        </w:rPr>
        <w:t>achieve an investment performance target of the Consumer Price Index (CPI) plus 3.5% (Main Fund) and CPI plus 3.25% (MVCIF) annualised over rolling seven-year periods;</w:t>
      </w:r>
    </w:p>
    <w:p w14:paraId="04F35FB4" w14:textId="77777777" w:rsidR="00371A85" w:rsidRPr="00C908D4" w:rsidRDefault="00371A85" w:rsidP="00371A85">
      <w:pPr>
        <w:pStyle w:val="ListParagraph"/>
        <w:numPr>
          <w:ilvl w:val="0"/>
          <w:numId w:val="1"/>
        </w:numPr>
        <w:ind w:right="-57"/>
        <w:rPr>
          <w:rFonts w:ascii="Arial" w:hAnsi="Arial" w:cs="Arial"/>
        </w:rPr>
      </w:pPr>
      <w:r w:rsidRPr="00C908D4">
        <w:rPr>
          <w:rFonts w:ascii="Arial" w:hAnsi="Arial" w:cs="Arial"/>
        </w:rPr>
        <w:t>achieve a rate of return for each asset class that exceeds the relevant performance benchmark over rolling three-year periods;</w:t>
      </w:r>
    </w:p>
    <w:p w14:paraId="07AB2275" w14:textId="77777777" w:rsidR="00371A85" w:rsidRPr="00C908D4" w:rsidRDefault="00371A85" w:rsidP="00371A85">
      <w:pPr>
        <w:pStyle w:val="ListParagraph"/>
        <w:numPr>
          <w:ilvl w:val="0"/>
          <w:numId w:val="1"/>
        </w:numPr>
        <w:ind w:right="-57"/>
        <w:rPr>
          <w:rFonts w:ascii="Arial" w:hAnsi="Arial" w:cs="Arial"/>
        </w:rPr>
      </w:pPr>
      <w:r w:rsidRPr="00C908D4">
        <w:rPr>
          <w:rFonts w:ascii="Arial" w:hAnsi="Arial" w:cs="Arial"/>
        </w:rPr>
        <w:t>maintain a level of liquidity that is sufficient at all times to meet insurance payments; and</w:t>
      </w:r>
    </w:p>
    <w:p w14:paraId="4B55A078" w14:textId="77777777" w:rsidR="00371A85" w:rsidRPr="00C908D4" w:rsidRDefault="00371A85" w:rsidP="00371A85">
      <w:pPr>
        <w:pStyle w:val="ListParagraph"/>
        <w:numPr>
          <w:ilvl w:val="0"/>
          <w:numId w:val="1"/>
        </w:numPr>
        <w:ind w:right="-57"/>
        <w:contextualSpacing/>
        <w:rPr>
          <w:rFonts w:ascii="Arial" w:hAnsi="Arial" w:cs="Arial"/>
        </w:rPr>
      </w:pPr>
      <w:proofErr w:type="gramStart"/>
      <w:r w:rsidRPr="00C908D4">
        <w:rPr>
          <w:rFonts w:ascii="Arial" w:hAnsi="Arial" w:cs="Arial"/>
        </w:rPr>
        <w:t>assist</w:t>
      </w:r>
      <w:proofErr w:type="gramEnd"/>
      <w:r w:rsidRPr="00C908D4">
        <w:rPr>
          <w:rFonts w:ascii="Arial" w:hAnsi="Arial" w:cs="Arial"/>
        </w:rPr>
        <w:t xml:space="preserve"> the Insurance Commission maintain a fully-funded position.</w:t>
      </w:r>
    </w:p>
    <w:p w14:paraId="2EF9FDC0" w14:textId="77777777" w:rsidR="00371A85" w:rsidRDefault="00371A85" w:rsidP="00371A85">
      <w:pPr>
        <w:pStyle w:val="MaintextStyleGroup1"/>
        <w:spacing w:line="240" w:lineRule="auto"/>
        <w:contextualSpacing/>
      </w:pPr>
    </w:p>
    <w:p w14:paraId="478886A4" w14:textId="77777777" w:rsidR="00371A85" w:rsidRDefault="00371A85" w:rsidP="00371A85">
      <w:pPr>
        <w:pStyle w:val="MaintextStyleGroup1"/>
        <w:spacing w:line="240" w:lineRule="auto"/>
        <w:contextualSpacing/>
      </w:pPr>
      <w:r w:rsidRPr="0059543D">
        <w:t xml:space="preserve">During 2018, the Insurance Commission’s investment advisor recommended the </w:t>
      </w:r>
      <w:r>
        <w:t>Main Fund</w:t>
      </w:r>
      <w:r w:rsidRPr="0059543D">
        <w:t xml:space="preserve"> investment objective be reduced f</w:t>
      </w:r>
      <w:r>
        <w:t xml:space="preserve">rom an investment return of CPI plus 3.5% to CPI plus </w:t>
      </w:r>
      <w:r w:rsidRPr="0059543D">
        <w:t xml:space="preserve">3% over a rolling seven-year period, as a result of the higher target of return being more difficult to achieve over the next five years. The main reason for the recommendation is that high asset values have driven recent strong returns (including bringing forward of future returns) and consequently future returns are likely to be lower. The revised </w:t>
      </w:r>
      <w:r>
        <w:t>Main Fund</w:t>
      </w:r>
      <w:r w:rsidRPr="0059543D">
        <w:t xml:space="preserve"> investment objective applie</w:t>
      </w:r>
      <w:r>
        <w:t>s to</w:t>
      </w:r>
      <w:r w:rsidRPr="0059543D">
        <w:t xml:space="preserve"> the 2019 financial year.  </w:t>
      </w:r>
    </w:p>
    <w:p w14:paraId="5BA21DE3" w14:textId="77777777" w:rsidR="00371A85" w:rsidRPr="00C908D4" w:rsidRDefault="00371A85" w:rsidP="00371A85">
      <w:pPr>
        <w:pStyle w:val="MaintextStyleGroup1"/>
        <w:spacing w:line="240" w:lineRule="auto"/>
        <w:contextualSpacing/>
      </w:pPr>
    </w:p>
    <w:p w14:paraId="75618546" w14:textId="77777777" w:rsidR="00371A85" w:rsidRPr="00C908D4" w:rsidRDefault="00371A85" w:rsidP="00371A85">
      <w:pPr>
        <w:pStyle w:val="MaintextStyleGroup1"/>
        <w:spacing w:line="240" w:lineRule="auto"/>
        <w:contextualSpacing/>
      </w:pPr>
      <w:r w:rsidRPr="00C908D4">
        <w:t>The Insurance Commission uses external investment managers an</w:t>
      </w:r>
      <w:r>
        <w:t>d directly manages some assets.</w:t>
      </w:r>
    </w:p>
    <w:p w14:paraId="3942B947" w14:textId="77777777" w:rsidR="00371A85" w:rsidRPr="00983F6F" w:rsidRDefault="00371A85" w:rsidP="00371A85">
      <w:pPr>
        <w:tabs>
          <w:tab w:val="left" w:pos="3690"/>
        </w:tabs>
        <w:contextualSpacing/>
        <w:jc w:val="left"/>
        <w:rPr>
          <w:rFonts w:ascii="Arial" w:hAnsi="Arial" w:cs="Arial"/>
        </w:rPr>
      </w:pPr>
    </w:p>
    <w:p w14:paraId="4FCAB388" w14:textId="77777777" w:rsidR="00371A85" w:rsidRDefault="00371A85" w:rsidP="00371A85">
      <w:pPr>
        <w:tabs>
          <w:tab w:val="left" w:pos="3690"/>
        </w:tabs>
        <w:contextualSpacing/>
        <w:jc w:val="left"/>
        <w:rPr>
          <w:rFonts w:ascii="Arial" w:hAnsi="Arial" w:cs="Arial"/>
        </w:rPr>
      </w:pPr>
      <w:r w:rsidRPr="00983F6F">
        <w:rPr>
          <w:rFonts w:ascii="Arial" w:hAnsi="Arial" w:cs="Arial"/>
        </w:rPr>
        <w:t xml:space="preserve">The Investments Division invests RiskCover funds and other monies it holds on behalf of the Government in its investment portfolio under the same arrangements </w:t>
      </w:r>
      <w:r w:rsidRPr="00983F6F">
        <w:rPr>
          <w:rFonts w:ascii="Arial" w:hAnsi="Arial" w:cs="Arial"/>
        </w:rPr>
        <w:lastRenderedPageBreak/>
        <w:t xml:space="preserve">used for the investment of </w:t>
      </w:r>
      <w:r>
        <w:rPr>
          <w:rFonts w:ascii="Arial" w:hAnsi="Arial" w:cs="Arial"/>
        </w:rPr>
        <w:t>Insurance Commission funds</w:t>
      </w:r>
      <w:r w:rsidRPr="00983F6F">
        <w:rPr>
          <w:rFonts w:ascii="Arial" w:hAnsi="Arial" w:cs="Arial"/>
        </w:rPr>
        <w:t>. The Motor Vehicle (Catastrophic Injuries) Fund uses the same arrangements, but has a different allocation to investment assets.</w:t>
      </w:r>
    </w:p>
    <w:p w14:paraId="2E5640F9" w14:textId="77777777" w:rsidR="00371A85" w:rsidRPr="00983F6F" w:rsidRDefault="00371A85" w:rsidP="00371A85">
      <w:pPr>
        <w:tabs>
          <w:tab w:val="left" w:pos="3690"/>
        </w:tabs>
        <w:contextualSpacing/>
        <w:jc w:val="left"/>
        <w:rPr>
          <w:rFonts w:ascii="Arial" w:hAnsi="Arial" w:cs="Arial"/>
        </w:rPr>
      </w:pPr>
    </w:p>
    <w:p w14:paraId="3E075EC2" w14:textId="77777777" w:rsidR="00371A85" w:rsidRPr="00C908D4" w:rsidRDefault="00371A85" w:rsidP="009A7694">
      <w:pPr>
        <w:pStyle w:val="ARHeading3"/>
      </w:pPr>
      <w:bookmarkStart w:id="37" w:name="_Toc354388604"/>
      <w:bookmarkStart w:id="38" w:name="_Toc355166766"/>
      <w:bookmarkStart w:id="39" w:name="_Toc379793317"/>
      <w:bookmarkStart w:id="40" w:name="_Toc390680568"/>
      <w:r w:rsidRPr="00C908D4">
        <w:t>2.4.4</w:t>
      </w:r>
      <w:r w:rsidRPr="00C908D4">
        <w:tab/>
        <w:t>Corporate Services</w:t>
      </w:r>
      <w:bookmarkEnd w:id="37"/>
      <w:bookmarkEnd w:id="38"/>
      <w:bookmarkEnd w:id="39"/>
      <w:bookmarkEnd w:id="40"/>
      <w:r w:rsidRPr="00C908D4">
        <w:t xml:space="preserve"> </w:t>
      </w:r>
    </w:p>
    <w:p w14:paraId="3BCB0B33" w14:textId="77777777" w:rsidR="00371A85" w:rsidRPr="00983F6F" w:rsidRDefault="00371A85" w:rsidP="00371A85">
      <w:pPr>
        <w:jc w:val="left"/>
        <w:rPr>
          <w:rFonts w:ascii="Arial" w:hAnsi="Arial" w:cs="Arial"/>
        </w:rPr>
      </w:pPr>
      <w:r w:rsidRPr="00983F6F">
        <w:rPr>
          <w:rFonts w:ascii="Arial" w:hAnsi="Arial" w:cs="Arial"/>
        </w:rPr>
        <w:t xml:space="preserve">The two insurance divisions (Motor Injury Insurance and RiskCover) and the Investments Division are supported by the Executive, </w:t>
      </w:r>
      <w:r>
        <w:rPr>
          <w:rFonts w:ascii="Arial" w:hAnsi="Arial" w:cs="Arial"/>
        </w:rPr>
        <w:t>Corporate Services and Information Technology</w:t>
      </w:r>
      <w:r w:rsidRPr="00983F6F">
        <w:rPr>
          <w:rFonts w:ascii="Arial" w:hAnsi="Arial" w:cs="Arial"/>
        </w:rPr>
        <w:t xml:space="preserve"> areas. Legal Services has a primary function to protect and pursue the Insurance Commission’s interests in the Bell Group litigation and recovery, </w:t>
      </w:r>
      <w:r>
        <w:rPr>
          <w:rFonts w:ascii="Arial" w:hAnsi="Arial" w:cs="Arial"/>
        </w:rPr>
        <w:t>and</w:t>
      </w:r>
      <w:r w:rsidRPr="00983F6F">
        <w:rPr>
          <w:rFonts w:ascii="Arial" w:hAnsi="Arial" w:cs="Arial"/>
        </w:rPr>
        <w:t xml:space="preserve"> provides some other </w:t>
      </w:r>
      <w:r>
        <w:rPr>
          <w:rFonts w:ascii="Arial" w:hAnsi="Arial" w:cs="Arial"/>
        </w:rPr>
        <w:t xml:space="preserve">minor </w:t>
      </w:r>
      <w:r w:rsidRPr="00983F6F">
        <w:rPr>
          <w:rFonts w:ascii="Arial" w:hAnsi="Arial" w:cs="Arial"/>
        </w:rPr>
        <w:t xml:space="preserve">legal services to the business. The two insurance divisions are also supported by the business functions of Investigations and Intelligence and Business Services. </w:t>
      </w:r>
      <w:r>
        <w:rPr>
          <w:rFonts w:ascii="Arial" w:hAnsi="Arial" w:cs="Arial"/>
        </w:rPr>
        <w:t xml:space="preserve">The </w:t>
      </w:r>
      <w:r w:rsidRPr="00983F6F">
        <w:rPr>
          <w:rFonts w:ascii="Arial" w:hAnsi="Arial" w:cs="Arial"/>
        </w:rPr>
        <w:t>Investi</w:t>
      </w:r>
      <w:r>
        <w:rPr>
          <w:rFonts w:ascii="Arial" w:hAnsi="Arial" w:cs="Arial"/>
        </w:rPr>
        <w:t>gations and Intelligence function is to identify</w:t>
      </w:r>
      <w:r w:rsidRPr="00983F6F">
        <w:rPr>
          <w:rFonts w:ascii="Arial" w:hAnsi="Arial" w:cs="Arial"/>
        </w:rPr>
        <w:t xml:space="preserve"> potentially fraudulent behaviour against our insurance operations. </w:t>
      </w:r>
      <w:r w:rsidRPr="00306A9E">
        <w:rPr>
          <w:rFonts w:ascii="Arial" w:hAnsi="Arial" w:cs="Arial"/>
        </w:rPr>
        <w:t xml:space="preserve">Business Services assists the organisation deal with the volume of interactions with </w:t>
      </w:r>
      <w:r>
        <w:rPr>
          <w:rFonts w:ascii="Arial" w:hAnsi="Arial" w:cs="Arial"/>
        </w:rPr>
        <w:t>stakeholders</w:t>
      </w:r>
      <w:r w:rsidRPr="00306A9E">
        <w:rPr>
          <w:rFonts w:ascii="Arial" w:hAnsi="Arial" w:cs="Arial"/>
        </w:rPr>
        <w:t xml:space="preserve"> (see below).</w:t>
      </w:r>
    </w:p>
    <w:p w14:paraId="77796B61" w14:textId="77777777" w:rsidR="00371A85" w:rsidRPr="00983F6F" w:rsidRDefault="00371A85" w:rsidP="00371A85">
      <w:pPr>
        <w:jc w:val="left"/>
        <w:rPr>
          <w:rFonts w:ascii="Arial" w:hAnsi="Arial" w:cs="Arial"/>
        </w:rPr>
      </w:pPr>
    </w:p>
    <w:p w14:paraId="08196FDD" w14:textId="77777777" w:rsidR="00371A85" w:rsidRPr="009A5243" w:rsidRDefault="00371A85" w:rsidP="00371A85">
      <w:pPr>
        <w:jc w:val="left"/>
        <w:rPr>
          <w:rFonts w:ascii="Arial" w:hAnsi="Arial" w:cs="Arial"/>
          <w:i/>
        </w:rPr>
      </w:pPr>
      <w:r w:rsidRPr="009A5243">
        <w:rPr>
          <w:rFonts w:ascii="Arial" w:hAnsi="Arial" w:cs="Arial"/>
          <w:i/>
        </w:rPr>
        <w:t>Infographic - Incoming Communications</w:t>
      </w:r>
      <w:r>
        <w:rPr>
          <w:rFonts w:ascii="Arial" w:hAnsi="Arial" w:cs="Arial"/>
          <w:i/>
        </w:rPr>
        <w:t xml:space="preserve"> for 2018</w:t>
      </w:r>
    </w:p>
    <w:p w14:paraId="52E51C12" w14:textId="6003E640" w:rsidR="00371A85" w:rsidRPr="009A5243" w:rsidRDefault="00371A85" w:rsidP="00371A85">
      <w:pPr>
        <w:jc w:val="left"/>
        <w:rPr>
          <w:rFonts w:ascii="Arial" w:hAnsi="Arial" w:cs="Arial"/>
        </w:rPr>
      </w:pPr>
      <w:r w:rsidRPr="009A5243">
        <w:rPr>
          <w:rFonts w:ascii="Arial" w:hAnsi="Arial" w:cs="Arial"/>
        </w:rPr>
        <w:t xml:space="preserve">The Insurance Commission received </w:t>
      </w:r>
      <w:r w:rsidR="00413666">
        <w:rPr>
          <w:rFonts w:ascii="Arial" w:hAnsi="Arial" w:cs="Arial"/>
        </w:rPr>
        <w:t>over 2.6</w:t>
      </w:r>
      <w:r w:rsidRPr="009A5243">
        <w:rPr>
          <w:rFonts w:ascii="Arial" w:hAnsi="Arial" w:cs="Arial"/>
        </w:rPr>
        <w:t xml:space="preserve"> million emails, phone ca</w:t>
      </w:r>
      <w:r>
        <w:rPr>
          <w:rFonts w:ascii="Arial" w:hAnsi="Arial" w:cs="Arial"/>
        </w:rPr>
        <w:t>lls and claims documents in 2018</w:t>
      </w:r>
      <w:r w:rsidRPr="009A5243">
        <w:rPr>
          <w:rFonts w:ascii="Arial" w:hAnsi="Arial" w:cs="Arial"/>
        </w:rPr>
        <w:t xml:space="preserve">. </w:t>
      </w:r>
    </w:p>
    <w:p w14:paraId="3A72AD84" w14:textId="77777777" w:rsidR="00371A85" w:rsidRPr="009A5243" w:rsidRDefault="00371A85" w:rsidP="00371A85">
      <w:pPr>
        <w:jc w:val="left"/>
        <w:rPr>
          <w:rFonts w:ascii="Arial" w:hAnsi="Arial" w:cs="Arial"/>
        </w:rPr>
      </w:pPr>
      <w:r>
        <w:rPr>
          <w:rFonts w:ascii="Arial" w:hAnsi="Arial" w:cs="Arial"/>
        </w:rPr>
        <w:t>170,000</w:t>
      </w:r>
      <w:r w:rsidRPr="009A5243">
        <w:rPr>
          <w:rFonts w:ascii="Arial" w:hAnsi="Arial" w:cs="Arial"/>
        </w:rPr>
        <w:t xml:space="preserve"> Phone Calls</w:t>
      </w:r>
    </w:p>
    <w:p w14:paraId="5C7765A9" w14:textId="250EC7FB" w:rsidR="00371A85" w:rsidRPr="009A5243" w:rsidRDefault="00413666" w:rsidP="00371A85">
      <w:pPr>
        <w:jc w:val="left"/>
        <w:rPr>
          <w:rFonts w:ascii="Arial" w:hAnsi="Arial" w:cs="Arial"/>
        </w:rPr>
      </w:pPr>
      <w:r>
        <w:rPr>
          <w:rFonts w:ascii="Arial" w:hAnsi="Arial" w:cs="Arial"/>
        </w:rPr>
        <w:t>1.4</w:t>
      </w:r>
      <w:r w:rsidR="00371A85" w:rsidRPr="009A5243">
        <w:rPr>
          <w:rFonts w:ascii="Arial" w:hAnsi="Arial" w:cs="Arial"/>
        </w:rPr>
        <w:t xml:space="preserve"> million Emails</w:t>
      </w:r>
    </w:p>
    <w:p w14:paraId="6B83F3E3" w14:textId="77777777" w:rsidR="00371A85" w:rsidRPr="00983F6F" w:rsidRDefault="00371A85" w:rsidP="00371A85">
      <w:pPr>
        <w:jc w:val="left"/>
        <w:rPr>
          <w:rFonts w:ascii="Arial" w:hAnsi="Arial" w:cs="Arial"/>
        </w:rPr>
      </w:pPr>
      <w:r>
        <w:rPr>
          <w:rFonts w:ascii="Arial" w:hAnsi="Arial" w:cs="Arial"/>
        </w:rPr>
        <w:t>1.1</w:t>
      </w:r>
      <w:r w:rsidRPr="009A5243">
        <w:rPr>
          <w:rFonts w:ascii="Arial" w:hAnsi="Arial" w:cs="Arial"/>
        </w:rPr>
        <w:t xml:space="preserve"> million Claims Documents</w:t>
      </w:r>
    </w:p>
    <w:p w14:paraId="40303018" w14:textId="77777777" w:rsidR="00371A85" w:rsidRPr="00983F6F" w:rsidRDefault="00371A85" w:rsidP="00371A85">
      <w:pPr>
        <w:jc w:val="left"/>
        <w:rPr>
          <w:rFonts w:ascii="Arial" w:hAnsi="Arial" w:cs="Arial"/>
        </w:rPr>
      </w:pPr>
    </w:p>
    <w:p w14:paraId="13B1E076" w14:textId="77777777" w:rsidR="00371A85" w:rsidRPr="00C908D4" w:rsidRDefault="00371A85" w:rsidP="009A7694">
      <w:pPr>
        <w:pStyle w:val="ARHeading3"/>
      </w:pPr>
      <w:r w:rsidRPr="00C908D4">
        <w:t>2.4.5</w:t>
      </w:r>
      <w:r w:rsidRPr="00C908D4">
        <w:tab/>
        <w:t xml:space="preserve">Stakeholder Engagement </w:t>
      </w:r>
    </w:p>
    <w:p w14:paraId="29FCDD3E" w14:textId="77777777" w:rsidR="00371A85" w:rsidRPr="00983F6F" w:rsidRDefault="00371A85" w:rsidP="00371A85">
      <w:pPr>
        <w:jc w:val="left"/>
        <w:rPr>
          <w:rFonts w:ascii="Arial" w:hAnsi="Arial" w:cs="Arial"/>
        </w:rPr>
      </w:pPr>
      <w:r w:rsidRPr="00983F6F">
        <w:rPr>
          <w:rFonts w:ascii="Arial" w:hAnsi="Arial" w:cs="Arial"/>
        </w:rPr>
        <w:t xml:space="preserve">The Insurance Commission recognises the importance of engaging with stakeholders and the need to demonstrate corporate social responsibility. </w:t>
      </w:r>
    </w:p>
    <w:p w14:paraId="64C06D36" w14:textId="77777777" w:rsidR="00371A85" w:rsidRDefault="00371A85" w:rsidP="00371A85">
      <w:pPr>
        <w:jc w:val="left"/>
        <w:rPr>
          <w:rFonts w:ascii="Arial" w:hAnsi="Arial" w:cs="Arial"/>
        </w:rPr>
      </w:pPr>
    </w:p>
    <w:p w14:paraId="452A9AB7" w14:textId="77777777" w:rsidR="00371A85" w:rsidRDefault="00371A85" w:rsidP="00371A85">
      <w:pPr>
        <w:jc w:val="left"/>
        <w:rPr>
          <w:rFonts w:ascii="Arial" w:hAnsi="Arial" w:cs="Arial"/>
        </w:rPr>
      </w:pPr>
      <w:r>
        <w:rPr>
          <w:rFonts w:ascii="Arial" w:hAnsi="Arial" w:cs="Arial"/>
        </w:rPr>
        <w:t xml:space="preserve">During 2018, the Insurance Commission hosted two workshops for service providers to people with catastrophic injuries in the CTP and CIS schemes. At each workshop, the Insurance Commission presented the performance results of the CIS scheme as it approached the end of its second year, and sought feedback on how service delivery efficiency and effectiveness could be monitored and improved. </w:t>
      </w:r>
    </w:p>
    <w:p w14:paraId="0E7E401E" w14:textId="77777777" w:rsidR="00371A85" w:rsidRDefault="00371A85" w:rsidP="00371A85">
      <w:pPr>
        <w:jc w:val="left"/>
        <w:rPr>
          <w:rFonts w:ascii="Arial" w:hAnsi="Arial" w:cs="Arial"/>
        </w:rPr>
      </w:pPr>
    </w:p>
    <w:p w14:paraId="1C6E6603" w14:textId="77777777" w:rsidR="00371A85" w:rsidRDefault="00371A85" w:rsidP="00371A85">
      <w:pPr>
        <w:jc w:val="left"/>
        <w:rPr>
          <w:rFonts w:ascii="Arial" w:hAnsi="Arial" w:cs="Arial"/>
        </w:rPr>
      </w:pPr>
      <w:r>
        <w:rPr>
          <w:rFonts w:ascii="Arial" w:hAnsi="Arial" w:cs="Arial"/>
        </w:rPr>
        <w:t xml:space="preserve">Claims staff from the Insurance Commission also met with over </w:t>
      </w:r>
      <w:r w:rsidRPr="003C6095">
        <w:rPr>
          <w:rFonts w:ascii="Arial" w:hAnsi="Arial" w:cs="Arial"/>
        </w:rPr>
        <w:t>150</w:t>
      </w:r>
      <w:r>
        <w:rPr>
          <w:rFonts w:ascii="Arial" w:hAnsi="Arial" w:cs="Arial"/>
        </w:rPr>
        <w:t xml:space="preserve"> physiotherapists at the Australian Physiotherapy Symposium in WA during the year to explain the claims processes for the motor injury insurance and workers’ compensation schemes run by the Insurance Commission. </w:t>
      </w:r>
    </w:p>
    <w:p w14:paraId="524C53E3" w14:textId="77777777" w:rsidR="00371A85" w:rsidRDefault="00371A85" w:rsidP="00371A85">
      <w:pPr>
        <w:jc w:val="left"/>
        <w:rPr>
          <w:rFonts w:ascii="Arial" w:hAnsi="Arial" w:cs="Arial"/>
        </w:rPr>
      </w:pPr>
    </w:p>
    <w:p w14:paraId="553AFA4A" w14:textId="77777777" w:rsidR="00371A85" w:rsidRPr="00CC0950" w:rsidRDefault="00371A85" w:rsidP="00371A85">
      <w:pPr>
        <w:jc w:val="left"/>
        <w:rPr>
          <w:rFonts w:ascii="Arial" w:hAnsi="Arial" w:cs="Arial"/>
        </w:rPr>
      </w:pPr>
      <w:r>
        <w:rPr>
          <w:rFonts w:ascii="Arial" w:hAnsi="Arial" w:cs="Arial"/>
        </w:rPr>
        <w:t xml:space="preserve">During the year, </w:t>
      </w:r>
      <w:r w:rsidRPr="00CC0950">
        <w:rPr>
          <w:rFonts w:ascii="Arial" w:hAnsi="Arial" w:cs="Arial"/>
        </w:rPr>
        <w:t xml:space="preserve">RiskCover </w:t>
      </w:r>
      <w:r>
        <w:rPr>
          <w:rFonts w:ascii="Arial" w:hAnsi="Arial" w:cs="Arial"/>
        </w:rPr>
        <w:t xml:space="preserve">delivered </w:t>
      </w:r>
      <w:r w:rsidRPr="00CC0950">
        <w:rPr>
          <w:rFonts w:ascii="Arial" w:hAnsi="Arial" w:cs="Arial"/>
        </w:rPr>
        <w:t xml:space="preserve">injury management </w:t>
      </w:r>
      <w:r>
        <w:rPr>
          <w:rFonts w:ascii="Arial" w:hAnsi="Arial" w:cs="Arial"/>
        </w:rPr>
        <w:t xml:space="preserve">sessions </w:t>
      </w:r>
      <w:r w:rsidRPr="00CC0950">
        <w:rPr>
          <w:rFonts w:ascii="Arial" w:hAnsi="Arial" w:cs="Arial"/>
        </w:rPr>
        <w:t xml:space="preserve">for </w:t>
      </w:r>
      <w:r>
        <w:rPr>
          <w:rFonts w:ascii="Arial" w:hAnsi="Arial" w:cs="Arial"/>
        </w:rPr>
        <w:t xml:space="preserve">over 200 </w:t>
      </w:r>
      <w:r w:rsidRPr="00CC0950">
        <w:rPr>
          <w:rFonts w:ascii="Arial" w:hAnsi="Arial" w:cs="Arial"/>
        </w:rPr>
        <w:t xml:space="preserve">agency line managers to </w:t>
      </w:r>
      <w:r>
        <w:rPr>
          <w:rFonts w:ascii="Arial" w:hAnsi="Arial" w:cs="Arial"/>
        </w:rPr>
        <w:t xml:space="preserve">enhance </w:t>
      </w:r>
      <w:r w:rsidRPr="00CC0950">
        <w:rPr>
          <w:rFonts w:ascii="Arial" w:hAnsi="Arial" w:cs="Arial"/>
        </w:rPr>
        <w:t>the</w:t>
      </w:r>
      <w:r>
        <w:rPr>
          <w:rFonts w:ascii="Arial" w:hAnsi="Arial" w:cs="Arial"/>
        </w:rPr>
        <w:t>ir</w:t>
      </w:r>
      <w:r w:rsidRPr="00CC0950">
        <w:rPr>
          <w:rFonts w:ascii="Arial" w:hAnsi="Arial" w:cs="Arial"/>
        </w:rPr>
        <w:t xml:space="preserve"> knowledge and skills </w:t>
      </w:r>
      <w:r>
        <w:rPr>
          <w:rFonts w:ascii="Arial" w:hAnsi="Arial" w:cs="Arial"/>
        </w:rPr>
        <w:t>when</w:t>
      </w:r>
      <w:r w:rsidRPr="00CC0950">
        <w:rPr>
          <w:rFonts w:ascii="Arial" w:hAnsi="Arial" w:cs="Arial"/>
        </w:rPr>
        <w:t xml:space="preserve"> manag</w:t>
      </w:r>
      <w:r>
        <w:rPr>
          <w:rFonts w:ascii="Arial" w:hAnsi="Arial" w:cs="Arial"/>
        </w:rPr>
        <w:t xml:space="preserve">ing </w:t>
      </w:r>
      <w:r w:rsidRPr="00CC0950">
        <w:rPr>
          <w:rFonts w:ascii="Arial" w:hAnsi="Arial" w:cs="Arial"/>
        </w:rPr>
        <w:t xml:space="preserve">employees with injuries. </w:t>
      </w:r>
    </w:p>
    <w:p w14:paraId="52A0C605" w14:textId="77777777" w:rsidR="00371A85" w:rsidRPr="00CC0950" w:rsidRDefault="00371A85" w:rsidP="00371A85">
      <w:pPr>
        <w:jc w:val="left"/>
        <w:rPr>
          <w:rFonts w:ascii="Arial" w:hAnsi="Arial" w:cs="Arial"/>
        </w:rPr>
      </w:pPr>
    </w:p>
    <w:p w14:paraId="7CD97F2F" w14:textId="77777777" w:rsidR="00371A85" w:rsidRDefault="00371A85" w:rsidP="00371A85">
      <w:pPr>
        <w:jc w:val="left"/>
        <w:rPr>
          <w:rFonts w:ascii="Arial" w:hAnsi="Arial" w:cs="Arial"/>
        </w:rPr>
      </w:pPr>
      <w:r>
        <w:rPr>
          <w:rFonts w:ascii="Arial" w:hAnsi="Arial" w:cs="Arial"/>
        </w:rPr>
        <w:t xml:space="preserve">As part of its stakeholder engagement program, </w:t>
      </w:r>
      <w:r w:rsidRPr="00CC0950">
        <w:rPr>
          <w:rFonts w:ascii="Arial" w:hAnsi="Arial" w:cs="Arial"/>
        </w:rPr>
        <w:t xml:space="preserve">Insurance Commission </w:t>
      </w:r>
      <w:r>
        <w:rPr>
          <w:rFonts w:ascii="Arial" w:hAnsi="Arial" w:cs="Arial"/>
        </w:rPr>
        <w:t>staff either presented at or chaired the following events in 2018:</w:t>
      </w:r>
    </w:p>
    <w:p w14:paraId="3EF13851" w14:textId="77777777" w:rsidR="00371A85" w:rsidRDefault="00371A85" w:rsidP="00371A85">
      <w:pPr>
        <w:jc w:val="left"/>
        <w:rPr>
          <w:rFonts w:ascii="Arial" w:hAnsi="Arial" w:cs="Arial"/>
        </w:rPr>
      </w:pPr>
    </w:p>
    <w:tbl>
      <w:tblPr>
        <w:tblStyle w:val="TableGrid"/>
        <w:tblW w:w="0" w:type="auto"/>
        <w:tblLook w:val="04A0" w:firstRow="1" w:lastRow="0" w:firstColumn="1" w:lastColumn="0" w:noHBand="0" w:noVBand="1"/>
      </w:tblPr>
      <w:tblGrid>
        <w:gridCol w:w="5911"/>
        <w:gridCol w:w="1557"/>
        <w:gridCol w:w="1548"/>
      </w:tblGrid>
      <w:tr w:rsidR="00371A85" w14:paraId="1CB6B363" w14:textId="77777777" w:rsidTr="00655467">
        <w:tc>
          <w:tcPr>
            <w:tcW w:w="5949" w:type="dxa"/>
          </w:tcPr>
          <w:p w14:paraId="470A5A36" w14:textId="77777777" w:rsidR="00371A85" w:rsidRPr="00051433" w:rsidRDefault="00371A85" w:rsidP="00655467">
            <w:pPr>
              <w:jc w:val="left"/>
              <w:rPr>
                <w:rFonts w:ascii="Arial" w:hAnsi="Arial" w:cs="Arial"/>
                <w:b/>
              </w:rPr>
            </w:pPr>
            <w:r>
              <w:rPr>
                <w:rFonts w:ascii="Arial" w:hAnsi="Arial" w:cs="Arial"/>
                <w:b/>
              </w:rPr>
              <w:t>Event</w:t>
            </w:r>
          </w:p>
        </w:tc>
        <w:tc>
          <w:tcPr>
            <w:tcW w:w="1559" w:type="dxa"/>
          </w:tcPr>
          <w:p w14:paraId="73339AD6" w14:textId="77777777" w:rsidR="00371A85" w:rsidRPr="00051433" w:rsidRDefault="00371A85" w:rsidP="00655467">
            <w:pPr>
              <w:jc w:val="left"/>
              <w:rPr>
                <w:rFonts w:ascii="Arial" w:hAnsi="Arial" w:cs="Arial"/>
                <w:b/>
              </w:rPr>
            </w:pPr>
            <w:r>
              <w:rPr>
                <w:rFonts w:ascii="Arial" w:hAnsi="Arial" w:cs="Arial"/>
                <w:b/>
              </w:rPr>
              <w:t>Presented</w:t>
            </w:r>
          </w:p>
        </w:tc>
        <w:tc>
          <w:tcPr>
            <w:tcW w:w="1552" w:type="dxa"/>
          </w:tcPr>
          <w:p w14:paraId="1DC8000D" w14:textId="77777777" w:rsidR="00371A85" w:rsidRPr="00051433" w:rsidRDefault="00371A85" w:rsidP="00655467">
            <w:pPr>
              <w:jc w:val="left"/>
              <w:rPr>
                <w:rFonts w:ascii="Arial" w:hAnsi="Arial" w:cs="Arial"/>
                <w:b/>
              </w:rPr>
            </w:pPr>
            <w:r>
              <w:rPr>
                <w:rFonts w:ascii="Arial" w:hAnsi="Arial" w:cs="Arial"/>
                <w:b/>
              </w:rPr>
              <w:t>Chaired</w:t>
            </w:r>
          </w:p>
        </w:tc>
      </w:tr>
      <w:tr w:rsidR="00371A85" w14:paraId="44C49447" w14:textId="77777777" w:rsidTr="00655467">
        <w:tc>
          <w:tcPr>
            <w:tcW w:w="5949" w:type="dxa"/>
          </w:tcPr>
          <w:p w14:paraId="280CAD71" w14:textId="77777777" w:rsidR="00371A85" w:rsidRDefault="00371A85" w:rsidP="00655467">
            <w:pPr>
              <w:jc w:val="left"/>
              <w:rPr>
                <w:rFonts w:ascii="Arial" w:hAnsi="Arial" w:cs="Arial"/>
              </w:rPr>
            </w:pPr>
            <w:r>
              <w:rPr>
                <w:rFonts w:ascii="Arial" w:hAnsi="Arial" w:cs="Arial"/>
              </w:rPr>
              <w:t>Actuaries Institute Injury and Disability Scheme Seminar</w:t>
            </w:r>
          </w:p>
        </w:tc>
        <w:tc>
          <w:tcPr>
            <w:tcW w:w="1559" w:type="dxa"/>
          </w:tcPr>
          <w:p w14:paraId="09667EAD" w14:textId="77777777" w:rsidR="00371A85" w:rsidRDefault="00371A85" w:rsidP="00655467">
            <w:pPr>
              <w:jc w:val="center"/>
              <w:rPr>
                <w:rFonts w:ascii="Arial" w:hAnsi="Arial" w:cs="Arial"/>
              </w:rPr>
            </w:pPr>
            <w:r>
              <w:rPr>
                <w:rFonts w:ascii="Arial" w:hAnsi="Arial" w:cs="Arial"/>
              </w:rPr>
              <w:sym w:font="Wingdings" w:char="F0FC"/>
            </w:r>
          </w:p>
        </w:tc>
        <w:tc>
          <w:tcPr>
            <w:tcW w:w="1552" w:type="dxa"/>
          </w:tcPr>
          <w:p w14:paraId="3C167649" w14:textId="77777777" w:rsidR="00371A85" w:rsidRDefault="00371A85" w:rsidP="00655467">
            <w:pPr>
              <w:jc w:val="center"/>
              <w:rPr>
                <w:rFonts w:ascii="Arial" w:hAnsi="Arial" w:cs="Arial"/>
              </w:rPr>
            </w:pPr>
          </w:p>
        </w:tc>
      </w:tr>
      <w:tr w:rsidR="00371A85" w14:paraId="4DBD4EEA" w14:textId="77777777" w:rsidTr="00655467">
        <w:tc>
          <w:tcPr>
            <w:tcW w:w="5949" w:type="dxa"/>
          </w:tcPr>
          <w:p w14:paraId="447945C1" w14:textId="77777777" w:rsidR="00371A85" w:rsidRDefault="00371A85" w:rsidP="00655467">
            <w:pPr>
              <w:jc w:val="left"/>
              <w:rPr>
                <w:rFonts w:ascii="Arial" w:hAnsi="Arial" w:cs="Arial"/>
              </w:rPr>
            </w:pPr>
            <w:r>
              <w:rPr>
                <w:rFonts w:ascii="Arial" w:hAnsi="Arial" w:cs="Arial"/>
              </w:rPr>
              <w:t>Australian Insurance Law Association Seminar</w:t>
            </w:r>
          </w:p>
        </w:tc>
        <w:tc>
          <w:tcPr>
            <w:tcW w:w="1559" w:type="dxa"/>
          </w:tcPr>
          <w:p w14:paraId="7B75CE68" w14:textId="77777777" w:rsidR="00371A85" w:rsidRDefault="00371A85" w:rsidP="00655467">
            <w:pPr>
              <w:jc w:val="center"/>
              <w:rPr>
                <w:rFonts w:ascii="Arial" w:hAnsi="Arial" w:cs="Arial"/>
              </w:rPr>
            </w:pPr>
            <w:r>
              <w:rPr>
                <w:rFonts w:ascii="Arial" w:hAnsi="Arial" w:cs="Arial"/>
              </w:rPr>
              <w:sym w:font="Wingdings" w:char="F0FC"/>
            </w:r>
          </w:p>
        </w:tc>
        <w:tc>
          <w:tcPr>
            <w:tcW w:w="1552" w:type="dxa"/>
          </w:tcPr>
          <w:p w14:paraId="717C6F0E" w14:textId="77777777" w:rsidR="00371A85" w:rsidRDefault="00371A85" w:rsidP="00655467">
            <w:pPr>
              <w:jc w:val="center"/>
              <w:rPr>
                <w:rFonts w:ascii="Arial" w:hAnsi="Arial" w:cs="Arial"/>
              </w:rPr>
            </w:pPr>
          </w:p>
        </w:tc>
      </w:tr>
      <w:tr w:rsidR="00371A85" w14:paraId="49D3C469" w14:textId="77777777" w:rsidTr="00655467">
        <w:tc>
          <w:tcPr>
            <w:tcW w:w="5949" w:type="dxa"/>
          </w:tcPr>
          <w:p w14:paraId="72895753" w14:textId="77777777" w:rsidR="00371A85" w:rsidRDefault="00371A85" w:rsidP="00655467">
            <w:pPr>
              <w:jc w:val="left"/>
              <w:rPr>
                <w:rFonts w:ascii="Arial" w:hAnsi="Arial" w:cs="Arial"/>
              </w:rPr>
            </w:pPr>
            <w:r>
              <w:rPr>
                <w:rFonts w:ascii="Arial" w:hAnsi="Arial" w:cs="Arial"/>
              </w:rPr>
              <w:lastRenderedPageBreak/>
              <w:t>Australian Insurance Law Association Young Professionals Seminar</w:t>
            </w:r>
          </w:p>
        </w:tc>
        <w:tc>
          <w:tcPr>
            <w:tcW w:w="1559" w:type="dxa"/>
          </w:tcPr>
          <w:p w14:paraId="19E7EFB5" w14:textId="77777777" w:rsidR="00371A85" w:rsidRDefault="00371A85" w:rsidP="00655467">
            <w:pPr>
              <w:jc w:val="center"/>
              <w:rPr>
                <w:rFonts w:ascii="Arial" w:hAnsi="Arial" w:cs="Arial"/>
              </w:rPr>
            </w:pPr>
          </w:p>
        </w:tc>
        <w:tc>
          <w:tcPr>
            <w:tcW w:w="1552" w:type="dxa"/>
          </w:tcPr>
          <w:p w14:paraId="71E3C399" w14:textId="77777777" w:rsidR="00371A85" w:rsidRDefault="00371A85" w:rsidP="00655467">
            <w:pPr>
              <w:jc w:val="center"/>
              <w:rPr>
                <w:rFonts w:ascii="Arial" w:hAnsi="Arial" w:cs="Arial"/>
              </w:rPr>
            </w:pPr>
            <w:r>
              <w:rPr>
                <w:rFonts w:ascii="Arial" w:hAnsi="Arial" w:cs="Arial"/>
              </w:rPr>
              <w:sym w:font="Wingdings" w:char="F0FC"/>
            </w:r>
          </w:p>
        </w:tc>
      </w:tr>
      <w:tr w:rsidR="00371A85" w14:paraId="5579415B" w14:textId="77777777" w:rsidTr="00655467">
        <w:tc>
          <w:tcPr>
            <w:tcW w:w="5949" w:type="dxa"/>
          </w:tcPr>
          <w:p w14:paraId="5C22C57D" w14:textId="77777777" w:rsidR="00371A85" w:rsidRDefault="00371A85" w:rsidP="00655467">
            <w:pPr>
              <w:jc w:val="left"/>
              <w:rPr>
                <w:rFonts w:ascii="Arial" w:hAnsi="Arial" w:cs="Arial"/>
              </w:rPr>
            </w:pPr>
            <w:r>
              <w:rPr>
                <w:rFonts w:ascii="Arial" w:hAnsi="Arial" w:cs="Arial"/>
              </w:rPr>
              <w:t>International Driverless Vehicle Summit (Adelaide)</w:t>
            </w:r>
          </w:p>
        </w:tc>
        <w:tc>
          <w:tcPr>
            <w:tcW w:w="1559" w:type="dxa"/>
          </w:tcPr>
          <w:p w14:paraId="3CFF21FB" w14:textId="77777777" w:rsidR="00371A85" w:rsidRDefault="00371A85" w:rsidP="00655467">
            <w:pPr>
              <w:jc w:val="center"/>
              <w:rPr>
                <w:rFonts w:ascii="Arial" w:hAnsi="Arial" w:cs="Arial"/>
              </w:rPr>
            </w:pPr>
            <w:r>
              <w:rPr>
                <w:rFonts w:ascii="Arial" w:hAnsi="Arial" w:cs="Arial"/>
              </w:rPr>
              <w:sym w:font="Wingdings" w:char="F0FC"/>
            </w:r>
          </w:p>
        </w:tc>
        <w:tc>
          <w:tcPr>
            <w:tcW w:w="1552" w:type="dxa"/>
          </w:tcPr>
          <w:p w14:paraId="22C75E4C" w14:textId="77777777" w:rsidR="00371A85" w:rsidRDefault="00371A85" w:rsidP="00655467">
            <w:pPr>
              <w:jc w:val="center"/>
              <w:rPr>
                <w:rFonts w:ascii="Arial" w:hAnsi="Arial" w:cs="Arial"/>
              </w:rPr>
            </w:pPr>
            <w:r>
              <w:rPr>
                <w:rFonts w:ascii="Arial" w:hAnsi="Arial" w:cs="Arial"/>
              </w:rPr>
              <w:sym w:font="Wingdings" w:char="F0FC"/>
            </w:r>
          </w:p>
        </w:tc>
      </w:tr>
      <w:tr w:rsidR="00371A85" w14:paraId="6772FBB1" w14:textId="77777777" w:rsidTr="00655467">
        <w:tc>
          <w:tcPr>
            <w:tcW w:w="5949" w:type="dxa"/>
          </w:tcPr>
          <w:p w14:paraId="27CD1F4B" w14:textId="77777777" w:rsidR="00371A85" w:rsidRDefault="00371A85" w:rsidP="00655467">
            <w:pPr>
              <w:jc w:val="left"/>
              <w:rPr>
                <w:rFonts w:ascii="Arial" w:hAnsi="Arial" w:cs="Arial"/>
              </w:rPr>
            </w:pPr>
            <w:r w:rsidRPr="00CC0950">
              <w:rPr>
                <w:rFonts w:ascii="Arial" w:hAnsi="Arial" w:cs="Arial"/>
              </w:rPr>
              <w:t>Monash University Accident Research Centre’s Executive Leadership Management Program</w:t>
            </w:r>
          </w:p>
        </w:tc>
        <w:tc>
          <w:tcPr>
            <w:tcW w:w="1559" w:type="dxa"/>
          </w:tcPr>
          <w:p w14:paraId="033654EB" w14:textId="77777777" w:rsidR="00371A85" w:rsidRDefault="00371A85" w:rsidP="00655467">
            <w:pPr>
              <w:jc w:val="center"/>
              <w:rPr>
                <w:rFonts w:ascii="Arial" w:hAnsi="Arial" w:cs="Arial"/>
              </w:rPr>
            </w:pPr>
            <w:r>
              <w:rPr>
                <w:rFonts w:ascii="Arial" w:hAnsi="Arial" w:cs="Arial"/>
              </w:rPr>
              <w:sym w:font="Wingdings" w:char="F0FC"/>
            </w:r>
          </w:p>
        </w:tc>
        <w:tc>
          <w:tcPr>
            <w:tcW w:w="1552" w:type="dxa"/>
          </w:tcPr>
          <w:p w14:paraId="56647896" w14:textId="77777777" w:rsidR="00371A85" w:rsidRDefault="00371A85" w:rsidP="00655467">
            <w:pPr>
              <w:jc w:val="center"/>
              <w:rPr>
                <w:rFonts w:ascii="Arial" w:hAnsi="Arial" w:cs="Arial"/>
              </w:rPr>
            </w:pPr>
          </w:p>
        </w:tc>
      </w:tr>
      <w:tr w:rsidR="00371A85" w14:paraId="42AE17FC" w14:textId="77777777" w:rsidTr="00655467">
        <w:tc>
          <w:tcPr>
            <w:tcW w:w="5949" w:type="dxa"/>
          </w:tcPr>
          <w:p w14:paraId="412EA70B" w14:textId="77777777" w:rsidR="00371A85" w:rsidRDefault="00371A85" w:rsidP="00655467">
            <w:pPr>
              <w:jc w:val="left"/>
              <w:rPr>
                <w:rFonts w:ascii="Arial" w:hAnsi="Arial" w:cs="Arial"/>
              </w:rPr>
            </w:pPr>
            <w:r w:rsidRPr="00CC0950">
              <w:rPr>
                <w:rFonts w:ascii="Arial" w:hAnsi="Arial" w:cs="Arial"/>
              </w:rPr>
              <w:t>National Disability Services’ State Conference</w:t>
            </w:r>
          </w:p>
        </w:tc>
        <w:tc>
          <w:tcPr>
            <w:tcW w:w="1559" w:type="dxa"/>
          </w:tcPr>
          <w:p w14:paraId="35CB207F" w14:textId="77777777" w:rsidR="00371A85" w:rsidRDefault="00371A85" w:rsidP="00655467">
            <w:pPr>
              <w:jc w:val="center"/>
              <w:rPr>
                <w:rFonts w:ascii="Arial" w:hAnsi="Arial" w:cs="Arial"/>
              </w:rPr>
            </w:pPr>
            <w:r>
              <w:rPr>
                <w:rFonts w:ascii="Arial" w:hAnsi="Arial" w:cs="Arial"/>
              </w:rPr>
              <w:sym w:font="Wingdings" w:char="F0FC"/>
            </w:r>
          </w:p>
        </w:tc>
        <w:tc>
          <w:tcPr>
            <w:tcW w:w="1552" w:type="dxa"/>
          </w:tcPr>
          <w:p w14:paraId="4CAA7743" w14:textId="77777777" w:rsidR="00371A85" w:rsidRDefault="00371A85" w:rsidP="00655467">
            <w:pPr>
              <w:jc w:val="center"/>
              <w:rPr>
                <w:rFonts w:ascii="Arial" w:hAnsi="Arial" w:cs="Arial"/>
              </w:rPr>
            </w:pPr>
          </w:p>
        </w:tc>
      </w:tr>
      <w:tr w:rsidR="00371A85" w14:paraId="6F7681D4" w14:textId="77777777" w:rsidTr="00655467">
        <w:tc>
          <w:tcPr>
            <w:tcW w:w="5949" w:type="dxa"/>
          </w:tcPr>
          <w:p w14:paraId="2BDB05CD" w14:textId="77777777" w:rsidR="00371A85" w:rsidRDefault="00371A85" w:rsidP="00655467">
            <w:pPr>
              <w:jc w:val="left"/>
              <w:rPr>
                <w:rFonts w:ascii="Arial" w:hAnsi="Arial" w:cs="Arial"/>
              </w:rPr>
            </w:pPr>
            <w:r w:rsidRPr="00CC0950">
              <w:rPr>
                <w:rFonts w:ascii="Arial" w:hAnsi="Arial" w:cs="Arial"/>
              </w:rPr>
              <w:t>National Risk and Governance Conference</w:t>
            </w:r>
            <w:r>
              <w:rPr>
                <w:rFonts w:ascii="Arial" w:hAnsi="Arial" w:cs="Arial"/>
              </w:rPr>
              <w:t xml:space="preserve"> (WA)</w:t>
            </w:r>
          </w:p>
        </w:tc>
        <w:tc>
          <w:tcPr>
            <w:tcW w:w="1559" w:type="dxa"/>
          </w:tcPr>
          <w:p w14:paraId="0C7A487E" w14:textId="77777777" w:rsidR="00371A85" w:rsidRDefault="00371A85" w:rsidP="00655467">
            <w:pPr>
              <w:jc w:val="center"/>
              <w:rPr>
                <w:rFonts w:ascii="Arial" w:hAnsi="Arial" w:cs="Arial"/>
              </w:rPr>
            </w:pPr>
          </w:p>
        </w:tc>
        <w:tc>
          <w:tcPr>
            <w:tcW w:w="1552" w:type="dxa"/>
          </w:tcPr>
          <w:p w14:paraId="4A3BB408" w14:textId="77777777" w:rsidR="00371A85" w:rsidRDefault="00371A85" w:rsidP="00655467">
            <w:pPr>
              <w:jc w:val="center"/>
              <w:rPr>
                <w:rFonts w:ascii="Arial" w:hAnsi="Arial" w:cs="Arial"/>
              </w:rPr>
            </w:pPr>
            <w:r>
              <w:rPr>
                <w:rFonts w:ascii="Arial" w:hAnsi="Arial" w:cs="Arial"/>
              </w:rPr>
              <w:sym w:font="Wingdings" w:char="F0FC"/>
            </w:r>
          </w:p>
        </w:tc>
      </w:tr>
      <w:tr w:rsidR="00371A85" w14:paraId="6A8FD78B" w14:textId="77777777" w:rsidTr="00655467">
        <w:tc>
          <w:tcPr>
            <w:tcW w:w="5949" w:type="dxa"/>
          </w:tcPr>
          <w:p w14:paraId="305F8393" w14:textId="77777777" w:rsidR="00371A85" w:rsidRDefault="00371A85" w:rsidP="00655467">
            <w:pPr>
              <w:jc w:val="left"/>
              <w:rPr>
                <w:rFonts w:ascii="Arial" w:hAnsi="Arial" w:cs="Arial"/>
              </w:rPr>
            </w:pPr>
            <w:r w:rsidRPr="00CC0950">
              <w:rPr>
                <w:rFonts w:ascii="Arial" w:hAnsi="Arial" w:cs="Arial"/>
              </w:rPr>
              <w:t>WA Public Sector Governance Forum</w:t>
            </w:r>
          </w:p>
        </w:tc>
        <w:tc>
          <w:tcPr>
            <w:tcW w:w="1559" w:type="dxa"/>
          </w:tcPr>
          <w:p w14:paraId="5B47650F" w14:textId="77777777" w:rsidR="00371A85" w:rsidRDefault="00371A85" w:rsidP="00655467">
            <w:pPr>
              <w:jc w:val="center"/>
              <w:rPr>
                <w:rFonts w:ascii="Arial" w:hAnsi="Arial" w:cs="Arial"/>
              </w:rPr>
            </w:pPr>
          </w:p>
        </w:tc>
        <w:tc>
          <w:tcPr>
            <w:tcW w:w="1552" w:type="dxa"/>
          </w:tcPr>
          <w:p w14:paraId="5CFCD54D" w14:textId="77777777" w:rsidR="00371A85" w:rsidRDefault="00371A85" w:rsidP="00655467">
            <w:pPr>
              <w:jc w:val="center"/>
              <w:rPr>
                <w:rFonts w:ascii="Arial" w:hAnsi="Arial" w:cs="Arial"/>
              </w:rPr>
            </w:pPr>
            <w:r>
              <w:rPr>
                <w:rFonts w:ascii="Arial" w:hAnsi="Arial" w:cs="Arial"/>
              </w:rPr>
              <w:sym w:font="Wingdings" w:char="F0FC"/>
            </w:r>
          </w:p>
        </w:tc>
      </w:tr>
    </w:tbl>
    <w:p w14:paraId="2B4CD0E8" w14:textId="77777777" w:rsidR="00371A85" w:rsidRDefault="00371A85" w:rsidP="00371A85">
      <w:pPr>
        <w:jc w:val="left"/>
        <w:rPr>
          <w:rFonts w:ascii="Arial" w:hAnsi="Arial" w:cs="Arial"/>
        </w:rPr>
      </w:pPr>
    </w:p>
    <w:p w14:paraId="3CF70CDA" w14:textId="77777777" w:rsidR="00371A85" w:rsidRPr="00983F6F" w:rsidRDefault="00371A85" w:rsidP="00371A85">
      <w:pPr>
        <w:jc w:val="left"/>
        <w:rPr>
          <w:rFonts w:ascii="Arial" w:hAnsi="Arial" w:cs="Arial"/>
        </w:rPr>
      </w:pPr>
      <w:r w:rsidRPr="00983F6F">
        <w:rPr>
          <w:rFonts w:ascii="Arial" w:hAnsi="Arial" w:cs="Arial"/>
        </w:rPr>
        <w:t xml:space="preserve">The Insurance Commission also engages with the community through various initiatives </w:t>
      </w:r>
      <w:r>
        <w:rPr>
          <w:rFonts w:ascii="Arial" w:hAnsi="Arial" w:cs="Arial"/>
        </w:rPr>
        <w:t xml:space="preserve">and research </w:t>
      </w:r>
      <w:r w:rsidRPr="00983F6F">
        <w:rPr>
          <w:rFonts w:ascii="Arial" w:hAnsi="Arial" w:cs="Arial"/>
        </w:rPr>
        <w:t>that aim to:</w:t>
      </w:r>
    </w:p>
    <w:p w14:paraId="6CB4E65A" w14:textId="77777777" w:rsidR="00371A85" w:rsidRPr="00983F6F" w:rsidRDefault="00371A85" w:rsidP="00371A85">
      <w:pPr>
        <w:jc w:val="left"/>
        <w:rPr>
          <w:rFonts w:ascii="Arial" w:hAnsi="Arial" w:cs="Arial"/>
        </w:rPr>
      </w:pPr>
    </w:p>
    <w:p w14:paraId="72F5FEC2" w14:textId="77777777" w:rsidR="00371A85" w:rsidRPr="00C908D4" w:rsidRDefault="00371A85" w:rsidP="00371A85">
      <w:pPr>
        <w:pStyle w:val="ListParagraph"/>
        <w:numPr>
          <w:ilvl w:val="0"/>
          <w:numId w:val="9"/>
        </w:numPr>
        <w:rPr>
          <w:rFonts w:ascii="Arial" w:hAnsi="Arial" w:cs="Arial"/>
        </w:rPr>
      </w:pPr>
      <w:r w:rsidRPr="00C908D4">
        <w:rPr>
          <w:rFonts w:ascii="Arial" w:hAnsi="Arial" w:cs="Arial"/>
        </w:rPr>
        <w:t xml:space="preserve">increase the independence of individuals injured in vehicle crashes and workplace </w:t>
      </w:r>
      <w:r>
        <w:rPr>
          <w:rFonts w:ascii="Arial" w:hAnsi="Arial" w:cs="Arial"/>
        </w:rPr>
        <w:t>accidents</w:t>
      </w:r>
      <w:r w:rsidRPr="00C908D4">
        <w:rPr>
          <w:rFonts w:ascii="Arial" w:hAnsi="Arial" w:cs="Arial"/>
        </w:rPr>
        <w:t>;</w:t>
      </w:r>
    </w:p>
    <w:p w14:paraId="623B4040" w14:textId="77777777" w:rsidR="00371A85" w:rsidRPr="00C908D4" w:rsidRDefault="00371A85" w:rsidP="00371A85">
      <w:pPr>
        <w:pStyle w:val="ListParagraph"/>
        <w:numPr>
          <w:ilvl w:val="0"/>
          <w:numId w:val="9"/>
        </w:numPr>
        <w:rPr>
          <w:rFonts w:ascii="Arial" w:hAnsi="Arial" w:cs="Arial"/>
        </w:rPr>
      </w:pPr>
      <w:r w:rsidRPr="00C908D4">
        <w:rPr>
          <w:rFonts w:ascii="Arial" w:hAnsi="Arial" w:cs="Arial"/>
        </w:rPr>
        <w:t>reduce effort for carers and burden on families;</w:t>
      </w:r>
    </w:p>
    <w:p w14:paraId="161CC71F" w14:textId="77777777" w:rsidR="00371A85" w:rsidRPr="00C908D4" w:rsidRDefault="00371A85" w:rsidP="00371A85">
      <w:pPr>
        <w:pStyle w:val="ListParagraph"/>
        <w:numPr>
          <w:ilvl w:val="0"/>
          <w:numId w:val="9"/>
        </w:numPr>
        <w:rPr>
          <w:rFonts w:ascii="Arial" w:hAnsi="Arial" w:cs="Arial"/>
        </w:rPr>
      </w:pPr>
      <w:r w:rsidRPr="00C908D4">
        <w:rPr>
          <w:rFonts w:ascii="Arial" w:hAnsi="Arial" w:cs="Arial"/>
        </w:rPr>
        <w:t xml:space="preserve">promote public awareness about the prevention of motor vehicle crashes; </w:t>
      </w:r>
    </w:p>
    <w:p w14:paraId="690FAB01" w14:textId="77777777" w:rsidR="00371A85" w:rsidRPr="00C908D4" w:rsidRDefault="00371A85" w:rsidP="00371A85">
      <w:pPr>
        <w:pStyle w:val="ListParagraph"/>
        <w:numPr>
          <w:ilvl w:val="0"/>
          <w:numId w:val="9"/>
        </w:numPr>
        <w:rPr>
          <w:rFonts w:ascii="Arial" w:hAnsi="Arial" w:cs="Arial"/>
        </w:rPr>
      </w:pPr>
      <w:r>
        <w:rPr>
          <w:rFonts w:ascii="Arial" w:hAnsi="Arial" w:cs="Arial"/>
        </w:rPr>
        <w:t>educate the community about</w:t>
      </w:r>
      <w:r w:rsidRPr="00C908D4">
        <w:rPr>
          <w:rFonts w:ascii="Arial" w:hAnsi="Arial" w:cs="Arial"/>
        </w:rPr>
        <w:t xml:space="preserve"> how to sustain fewer and less serious injuries when involved in motor vehicle crashes, leading to fewer insurance claims incurring lower costs; and</w:t>
      </w:r>
    </w:p>
    <w:p w14:paraId="19202ECA" w14:textId="77777777" w:rsidR="00371A85" w:rsidRPr="00C908D4" w:rsidRDefault="00371A85" w:rsidP="00371A85">
      <w:pPr>
        <w:pStyle w:val="ListParagraph"/>
        <w:numPr>
          <w:ilvl w:val="0"/>
          <w:numId w:val="9"/>
        </w:numPr>
        <w:rPr>
          <w:rFonts w:ascii="Arial" w:hAnsi="Arial" w:cs="Arial"/>
        </w:rPr>
      </w:pPr>
      <w:proofErr w:type="gramStart"/>
      <w:r w:rsidRPr="00C908D4">
        <w:rPr>
          <w:rFonts w:ascii="Arial" w:hAnsi="Arial" w:cs="Arial"/>
        </w:rPr>
        <w:t>keep</w:t>
      </w:r>
      <w:proofErr w:type="gramEnd"/>
      <w:r w:rsidRPr="00C908D4">
        <w:rPr>
          <w:rFonts w:ascii="Arial" w:hAnsi="Arial" w:cs="Arial"/>
        </w:rPr>
        <w:t xml:space="preserve"> insurance premiums affordable for Western Australian drivers and Government agencies.</w:t>
      </w:r>
    </w:p>
    <w:p w14:paraId="02AFC4AB" w14:textId="77777777" w:rsidR="00371A85" w:rsidRDefault="00371A85" w:rsidP="00371A85">
      <w:pPr>
        <w:jc w:val="left"/>
        <w:rPr>
          <w:rFonts w:ascii="Arial" w:hAnsi="Arial" w:cs="Arial"/>
        </w:rPr>
      </w:pPr>
    </w:p>
    <w:p w14:paraId="2C1879F6" w14:textId="77777777" w:rsidR="00371A85" w:rsidRPr="00983F6F" w:rsidRDefault="00371A85" w:rsidP="00371A85">
      <w:pPr>
        <w:jc w:val="left"/>
        <w:rPr>
          <w:rFonts w:ascii="Arial" w:hAnsi="Arial" w:cs="Arial"/>
        </w:rPr>
      </w:pPr>
      <w:r>
        <w:rPr>
          <w:rFonts w:ascii="Arial" w:hAnsi="Arial" w:cs="Arial"/>
        </w:rPr>
        <w:t>The Insurance Commission has also continued to support research with the Neurotrauma Research Program and the National Centre for Asbestos Related Diseases.</w:t>
      </w:r>
    </w:p>
    <w:p w14:paraId="420BA1CB" w14:textId="77777777" w:rsidR="00371A85" w:rsidRDefault="00371A85" w:rsidP="00371A85">
      <w:pPr>
        <w:jc w:val="left"/>
        <w:rPr>
          <w:rFonts w:ascii="Arial" w:hAnsi="Arial" w:cs="Arial"/>
        </w:rPr>
      </w:pPr>
    </w:p>
    <w:p w14:paraId="534AC7E7" w14:textId="77777777" w:rsidR="00371A85" w:rsidRDefault="00371A85" w:rsidP="00371A85">
      <w:pPr>
        <w:jc w:val="left"/>
        <w:rPr>
          <w:rFonts w:ascii="Arial" w:hAnsi="Arial" w:cs="Arial"/>
        </w:rPr>
      </w:pPr>
      <w:r>
        <w:rPr>
          <w:rFonts w:ascii="Arial" w:hAnsi="Arial" w:cs="Arial"/>
        </w:rPr>
        <w:t xml:space="preserve">In 2018, the Insurance Commission announced a three-year Belt Up partnership with Football West to complement its existing community partnerships with the WA Country Football League, Netball WA and Rugby WA. The Football West partnership will see over 2,000 Belt Up branded soccer balls distributed throughout the state. </w:t>
      </w:r>
    </w:p>
    <w:p w14:paraId="76E3DCFB" w14:textId="77777777" w:rsidR="00371A85" w:rsidRDefault="00371A85" w:rsidP="00371A85">
      <w:pPr>
        <w:jc w:val="left"/>
        <w:rPr>
          <w:rFonts w:ascii="Arial" w:hAnsi="Arial" w:cs="Arial"/>
        </w:rPr>
      </w:pPr>
    </w:p>
    <w:p w14:paraId="1EA170E3" w14:textId="77777777" w:rsidR="00371A85" w:rsidRDefault="00371A85" w:rsidP="00371A85">
      <w:pPr>
        <w:jc w:val="left"/>
        <w:rPr>
          <w:rFonts w:ascii="Arial" w:hAnsi="Arial" w:cs="Arial"/>
        </w:rPr>
      </w:pPr>
      <w:r w:rsidRPr="00983F6F">
        <w:rPr>
          <w:rFonts w:ascii="Arial" w:hAnsi="Arial" w:cs="Arial"/>
        </w:rPr>
        <w:t>The Insurance Commission</w:t>
      </w:r>
      <w:r>
        <w:rPr>
          <w:rFonts w:ascii="Arial" w:hAnsi="Arial" w:cs="Arial"/>
        </w:rPr>
        <w:t>’s</w:t>
      </w:r>
      <w:r w:rsidRPr="00983F6F">
        <w:rPr>
          <w:rFonts w:ascii="Arial" w:hAnsi="Arial" w:cs="Arial"/>
        </w:rPr>
        <w:t xml:space="preserve"> Belt Up campaign</w:t>
      </w:r>
      <w:r>
        <w:rPr>
          <w:rFonts w:ascii="Arial" w:hAnsi="Arial" w:cs="Arial"/>
        </w:rPr>
        <w:t xml:space="preserve"> supports grassroots community sport in Western Australia</w:t>
      </w:r>
      <w:r w:rsidRPr="00983F6F">
        <w:rPr>
          <w:rFonts w:ascii="Arial" w:hAnsi="Arial" w:cs="Arial"/>
        </w:rPr>
        <w:t xml:space="preserve"> as a mechanism to educate people to wear seatbelts and minimise the risk and cost of injury in a crash.  </w:t>
      </w:r>
    </w:p>
    <w:p w14:paraId="327476ED" w14:textId="77777777" w:rsidR="00371A85" w:rsidRDefault="00371A85" w:rsidP="00371A85">
      <w:pPr>
        <w:jc w:val="left"/>
        <w:rPr>
          <w:rFonts w:ascii="Arial" w:hAnsi="Arial" w:cs="Arial"/>
        </w:rPr>
      </w:pPr>
    </w:p>
    <w:p w14:paraId="3903405C" w14:textId="77777777" w:rsidR="00371A85" w:rsidRDefault="00371A85" w:rsidP="00371A85">
      <w:pPr>
        <w:jc w:val="left"/>
        <w:rPr>
          <w:rFonts w:ascii="Arial" w:hAnsi="Arial" w:cs="Arial"/>
        </w:rPr>
      </w:pPr>
      <w:r>
        <w:rPr>
          <w:rFonts w:ascii="Arial" w:hAnsi="Arial" w:cs="Arial"/>
        </w:rPr>
        <w:t>The year 2018 marked the 20</w:t>
      </w:r>
      <w:r w:rsidRPr="003C6095">
        <w:rPr>
          <w:rFonts w:ascii="Arial" w:hAnsi="Arial" w:cs="Arial"/>
          <w:vertAlign w:val="superscript"/>
        </w:rPr>
        <w:t>th</w:t>
      </w:r>
      <w:r>
        <w:rPr>
          <w:rFonts w:ascii="Arial" w:hAnsi="Arial" w:cs="Arial"/>
        </w:rPr>
        <w:t xml:space="preserve"> anniversary of the Belt Up campaign, of which the WA Country Football League was the first partner. There is now a 12% less chance of being killed or seriously injured in a car crash as a result of not wearing your seatbelt, compared with 20 years ago. </w:t>
      </w:r>
      <w:r w:rsidRPr="00426E5A">
        <w:rPr>
          <w:rFonts w:ascii="Arial" w:hAnsi="Arial" w:cs="Arial"/>
        </w:rPr>
        <w:t>Unfortunately, in 2017, 71 people who were killed or seriously injured in Western Australian crashes were not wearing a seatbelt.</w:t>
      </w:r>
      <w:r>
        <w:rPr>
          <w:rFonts w:ascii="Arial" w:hAnsi="Arial" w:cs="Arial"/>
        </w:rPr>
        <w:t xml:space="preserve"> </w:t>
      </w:r>
      <w:r w:rsidRPr="00852F6B">
        <w:rPr>
          <w:rFonts w:ascii="Arial" w:hAnsi="Arial" w:cs="Arial"/>
        </w:rPr>
        <w:t xml:space="preserve">As people are still not wearing seatbelts, </w:t>
      </w:r>
      <w:r>
        <w:rPr>
          <w:rFonts w:ascii="Arial" w:hAnsi="Arial" w:cs="Arial"/>
        </w:rPr>
        <w:t>we aim to push the Belt Up message harder.</w:t>
      </w:r>
    </w:p>
    <w:p w14:paraId="3961776D" w14:textId="77777777" w:rsidR="00413666" w:rsidRDefault="00413666" w:rsidP="00371A85">
      <w:pPr>
        <w:jc w:val="left"/>
        <w:rPr>
          <w:rFonts w:ascii="Arial" w:hAnsi="Arial" w:cs="Arial"/>
        </w:rPr>
      </w:pPr>
    </w:p>
    <w:p w14:paraId="0EDF5CF0" w14:textId="0738CBBE" w:rsidR="00413666" w:rsidRPr="00413666" w:rsidRDefault="00413666" w:rsidP="00413666">
      <w:pPr>
        <w:pStyle w:val="ARHeading3"/>
        <w:pBdr>
          <w:top w:val="single" w:sz="4" w:space="1" w:color="auto"/>
          <w:left w:val="single" w:sz="4" w:space="4" w:color="auto"/>
          <w:bottom w:val="single" w:sz="4" w:space="1" w:color="auto"/>
          <w:right w:val="single" w:sz="4" w:space="4" w:color="auto"/>
        </w:pBdr>
      </w:pPr>
      <w:r w:rsidRPr="00413666">
        <w:t>Improving Client Independence</w:t>
      </w:r>
    </w:p>
    <w:p w14:paraId="29FD2008"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r w:rsidRPr="00413666">
        <w:rPr>
          <w:rFonts w:ascii="Arial" w:hAnsi="Arial" w:cs="Arial"/>
        </w:rPr>
        <w:t>In 2018, the Insurance Commission commenced a 16-month research study examining and trialling assistive toileting technologies for clients with catastrophic injuries.</w:t>
      </w:r>
    </w:p>
    <w:p w14:paraId="6EC29943"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p>
    <w:p w14:paraId="3A7E8EAF"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r w:rsidRPr="00413666">
        <w:rPr>
          <w:rFonts w:ascii="Arial" w:hAnsi="Arial" w:cs="Arial"/>
        </w:rPr>
        <w:lastRenderedPageBreak/>
        <w:t xml:space="preserve">The research project aims to increase client independence by reducing the amount of care required while toileting, which can result in lower care costs and increased dignity for the individual. </w:t>
      </w:r>
    </w:p>
    <w:p w14:paraId="2434A66B"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p>
    <w:p w14:paraId="12E11E5B"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r w:rsidRPr="00413666">
        <w:rPr>
          <w:rFonts w:ascii="Arial" w:hAnsi="Arial" w:cs="Arial"/>
        </w:rPr>
        <w:t>The Insurance Commission spends approximately $3.8 million per year on toileting care and support for its clients with catastrophic injuries from car crashes.</w:t>
      </w:r>
    </w:p>
    <w:p w14:paraId="61564779"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p>
    <w:p w14:paraId="4600D28F"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r w:rsidRPr="00413666">
        <w:rPr>
          <w:rFonts w:ascii="Arial" w:hAnsi="Arial" w:cs="Arial"/>
        </w:rPr>
        <w:t xml:space="preserve">The project is being delivered in partnership with the Brightwater Care Group, who provide rehabilitation and support services to people with acquired brain injuries.  </w:t>
      </w:r>
    </w:p>
    <w:p w14:paraId="289A9D7B"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p>
    <w:p w14:paraId="4E982FE1"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r w:rsidRPr="00413666">
        <w:rPr>
          <w:rFonts w:ascii="Arial" w:hAnsi="Arial" w:cs="Arial"/>
        </w:rPr>
        <w:t xml:space="preserve">The research is led by Dr </w:t>
      </w:r>
      <w:proofErr w:type="spellStart"/>
      <w:r w:rsidRPr="00413666">
        <w:rPr>
          <w:rFonts w:ascii="Arial" w:hAnsi="Arial" w:cs="Arial"/>
        </w:rPr>
        <w:t>Angelita</w:t>
      </w:r>
      <w:proofErr w:type="spellEnd"/>
      <w:r w:rsidRPr="00413666">
        <w:rPr>
          <w:rFonts w:ascii="Arial" w:hAnsi="Arial" w:cs="Arial"/>
        </w:rPr>
        <w:t xml:space="preserve"> Martini, Director of the Brightwater Research Centre, </w:t>
      </w:r>
      <w:proofErr w:type="spellStart"/>
      <w:r w:rsidRPr="00413666">
        <w:rPr>
          <w:rFonts w:ascii="Arial" w:hAnsi="Arial" w:cs="Arial"/>
        </w:rPr>
        <w:t>Annelize</w:t>
      </w:r>
      <w:proofErr w:type="spellEnd"/>
      <w:r w:rsidRPr="00413666">
        <w:rPr>
          <w:rFonts w:ascii="Arial" w:hAnsi="Arial" w:cs="Arial"/>
        </w:rPr>
        <w:t xml:space="preserve"> </w:t>
      </w:r>
      <w:proofErr w:type="spellStart"/>
      <w:r w:rsidRPr="00413666">
        <w:rPr>
          <w:rFonts w:ascii="Arial" w:hAnsi="Arial" w:cs="Arial"/>
        </w:rPr>
        <w:t>Prinsloo</w:t>
      </w:r>
      <w:proofErr w:type="spellEnd"/>
      <w:r w:rsidRPr="00413666">
        <w:rPr>
          <w:rFonts w:ascii="Arial" w:hAnsi="Arial" w:cs="Arial"/>
        </w:rPr>
        <w:t>, President of the WA Continence Foundation, and a team of health specialists, carers and researchers.</w:t>
      </w:r>
    </w:p>
    <w:p w14:paraId="3F71AD6B"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p>
    <w:p w14:paraId="0716C42E"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r w:rsidRPr="00413666">
        <w:rPr>
          <w:rFonts w:ascii="Arial" w:hAnsi="Arial" w:cs="Arial"/>
        </w:rPr>
        <w:t xml:space="preserve">This research project complements the Insurance Commission’s other research-led projects in the care and disability sector.  </w:t>
      </w:r>
    </w:p>
    <w:p w14:paraId="0F70D82E"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p>
    <w:p w14:paraId="77220A6A"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r w:rsidRPr="00413666">
        <w:rPr>
          <w:rFonts w:ascii="Arial" w:hAnsi="Arial" w:cs="Arial"/>
        </w:rPr>
        <w:t>This includes a three-year partnership with the Neurotrauma Research Program, announced in 2017, aimed at improving rehabilitation and independence for people with catastrophic injuries.</w:t>
      </w:r>
    </w:p>
    <w:p w14:paraId="6FF67D11"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p>
    <w:p w14:paraId="5E28D90E"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r w:rsidRPr="00413666">
        <w:rPr>
          <w:rFonts w:ascii="Arial" w:hAnsi="Arial" w:cs="Arial"/>
        </w:rPr>
        <w:t xml:space="preserve">Now in its second year, four one-year grants of $100,000 have been provided to successful projects focused on neurotrauma research. </w:t>
      </w:r>
    </w:p>
    <w:p w14:paraId="601BCCDE" w14:textId="77777777" w:rsidR="00413666" w:rsidRP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p>
    <w:p w14:paraId="6B2F5647" w14:textId="258F583C" w:rsidR="00413666" w:rsidRDefault="00413666" w:rsidP="00413666">
      <w:pPr>
        <w:pBdr>
          <w:top w:val="single" w:sz="4" w:space="1" w:color="auto"/>
          <w:left w:val="single" w:sz="4" w:space="4" w:color="auto"/>
          <w:bottom w:val="single" w:sz="4" w:space="1" w:color="auto"/>
          <w:right w:val="single" w:sz="4" w:space="4" w:color="auto"/>
        </w:pBdr>
        <w:jc w:val="left"/>
        <w:rPr>
          <w:rFonts w:ascii="Arial" w:hAnsi="Arial" w:cs="Arial"/>
        </w:rPr>
      </w:pPr>
      <w:r w:rsidRPr="00413666">
        <w:rPr>
          <w:rFonts w:ascii="Arial" w:hAnsi="Arial" w:cs="Arial"/>
        </w:rPr>
        <w:t>The Insurance Commission also continues to fund research via the National Centre for Asbestos Related Diseases into the early detection, prevention and treatment of diseases caused by asbestos and mesothelioma.</w:t>
      </w:r>
    </w:p>
    <w:p w14:paraId="4CC8D03B" w14:textId="77777777" w:rsidR="00371A85" w:rsidRDefault="00371A85" w:rsidP="00371A85">
      <w:pPr>
        <w:jc w:val="left"/>
        <w:rPr>
          <w:rFonts w:ascii="Arial" w:hAnsi="Arial" w:cs="Arial"/>
        </w:rPr>
      </w:pPr>
    </w:p>
    <w:p w14:paraId="28ECF89D" w14:textId="77777777" w:rsidR="00413666" w:rsidRDefault="00413666" w:rsidP="00371A85">
      <w:pPr>
        <w:jc w:val="left"/>
        <w:rPr>
          <w:rFonts w:ascii="Arial" w:hAnsi="Arial" w:cs="Arial"/>
        </w:rPr>
      </w:pPr>
    </w:p>
    <w:p w14:paraId="54CCAC4F" w14:textId="77777777" w:rsidR="00413666" w:rsidRDefault="00413666" w:rsidP="00371A85">
      <w:pPr>
        <w:jc w:val="left"/>
        <w:rPr>
          <w:rFonts w:ascii="Arial" w:hAnsi="Arial" w:cs="Arial"/>
        </w:rPr>
      </w:pPr>
    </w:p>
    <w:p w14:paraId="4AFB420B" w14:textId="77777777" w:rsidR="00413666" w:rsidRDefault="00413666" w:rsidP="00371A85">
      <w:pPr>
        <w:jc w:val="left"/>
        <w:rPr>
          <w:rFonts w:ascii="Arial" w:hAnsi="Arial" w:cs="Arial"/>
        </w:rPr>
      </w:pPr>
    </w:p>
    <w:p w14:paraId="242176B1" w14:textId="77777777" w:rsidR="00413666" w:rsidRDefault="00413666" w:rsidP="00371A85">
      <w:pPr>
        <w:jc w:val="left"/>
        <w:rPr>
          <w:rFonts w:ascii="Arial" w:hAnsi="Arial" w:cs="Arial"/>
        </w:rPr>
      </w:pPr>
    </w:p>
    <w:p w14:paraId="32D31DD9" w14:textId="77777777" w:rsidR="00413666" w:rsidRDefault="00413666" w:rsidP="00371A85">
      <w:pPr>
        <w:jc w:val="left"/>
        <w:rPr>
          <w:rFonts w:ascii="Arial" w:hAnsi="Arial" w:cs="Arial"/>
        </w:rPr>
      </w:pPr>
    </w:p>
    <w:p w14:paraId="682CD47D" w14:textId="77777777" w:rsidR="00413666" w:rsidRDefault="00413666" w:rsidP="00371A85">
      <w:pPr>
        <w:jc w:val="left"/>
        <w:rPr>
          <w:rFonts w:ascii="Arial" w:hAnsi="Arial" w:cs="Arial"/>
        </w:rPr>
      </w:pPr>
    </w:p>
    <w:p w14:paraId="1AE0A444" w14:textId="77777777" w:rsidR="00413666" w:rsidRDefault="00413666" w:rsidP="00371A85">
      <w:pPr>
        <w:jc w:val="left"/>
        <w:rPr>
          <w:rFonts w:ascii="Arial" w:hAnsi="Arial" w:cs="Arial"/>
        </w:rPr>
      </w:pPr>
    </w:p>
    <w:p w14:paraId="370A8AE9" w14:textId="77777777" w:rsidR="00413666" w:rsidRDefault="00413666" w:rsidP="00371A85">
      <w:pPr>
        <w:jc w:val="left"/>
        <w:rPr>
          <w:rFonts w:ascii="Arial" w:hAnsi="Arial" w:cs="Arial"/>
        </w:rPr>
      </w:pPr>
    </w:p>
    <w:p w14:paraId="2A7FEE0E" w14:textId="77777777" w:rsidR="00413666" w:rsidRDefault="00413666" w:rsidP="00371A85">
      <w:pPr>
        <w:jc w:val="left"/>
        <w:rPr>
          <w:rFonts w:ascii="Arial" w:hAnsi="Arial" w:cs="Arial"/>
        </w:rPr>
      </w:pPr>
    </w:p>
    <w:p w14:paraId="08DC47A9" w14:textId="77777777" w:rsidR="00413666" w:rsidRDefault="00413666" w:rsidP="00371A85">
      <w:pPr>
        <w:jc w:val="left"/>
        <w:rPr>
          <w:rFonts w:ascii="Arial" w:hAnsi="Arial" w:cs="Arial"/>
        </w:rPr>
      </w:pPr>
    </w:p>
    <w:p w14:paraId="05B5D732" w14:textId="77777777" w:rsidR="00413666" w:rsidRDefault="00413666" w:rsidP="00371A85">
      <w:pPr>
        <w:jc w:val="left"/>
        <w:rPr>
          <w:rFonts w:ascii="Arial" w:hAnsi="Arial" w:cs="Arial"/>
        </w:rPr>
      </w:pPr>
    </w:p>
    <w:p w14:paraId="2C0D4081" w14:textId="77777777" w:rsidR="00413666" w:rsidRDefault="00413666" w:rsidP="00371A85">
      <w:pPr>
        <w:jc w:val="left"/>
        <w:rPr>
          <w:rFonts w:ascii="Arial" w:hAnsi="Arial" w:cs="Arial"/>
        </w:rPr>
      </w:pPr>
    </w:p>
    <w:p w14:paraId="13705634" w14:textId="77777777" w:rsidR="00413666" w:rsidRDefault="00413666" w:rsidP="00371A85">
      <w:pPr>
        <w:jc w:val="left"/>
        <w:rPr>
          <w:rFonts w:ascii="Arial" w:hAnsi="Arial" w:cs="Arial"/>
        </w:rPr>
      </w:pPr>
    </w:p>
    <w:p w14:paraId="57A7CB5A" w14:textId="77777777" w:rsidR="00413666" w:rsidRDefault="00413666" w:rsidP="00371A85">
      <w:pPr>
        <w:jc w:val="left"/>
        <w:rPr>
          <w:rFonts w:ascii="Arial" w:hAnsi="Arial" w:cs="Arial"/>
        </w:rPr>
      </w:pPr>
    </w:p>
    <w:p w14:paraId="5B3119F4" w14:textId="77777777" w:rsidR="00413666" w:rsidRDefault="00413666" w:rsidP="00371A85">
      <w:pPr>
        <w:jc w:val="left"/>
        <w:rPr>
          <w:rFonts w:ascii="Arial" w:hAnsi="Arial" w:cs="Arial"/>
        </w:rPr>
      </w:pPr>
    </w:p>
    <w:p w14:paraId="05BD92D1" w14:textId="77777777" w:rsidR="00413666" w:rsidRDefault="00413666" w:rsidP="00371A85">
      <w:pPr>
        <w:jc w:val="left"/>
        <w:rPr>
          <w:rFonts w:ascii="Arial" w:hAnsi="Arial" w:cs="Arial"/>
        </w:rPr>
      </w:pPr>
    </w:p>
    <w:p w14:paraId="54B601FD" w14:textId="77777777" w:rsidR="00413666" w:rsidRDefault="00413666" w:rsidP="00371A85">
      <w:pPr>
        <w:jc w:val="left"/>
        <w:rPr>
          <w:rFonts w:ascii="Arial" w:hAnsi="Arial" w:cs="Arial"/>
        </w:rPr>
      </w:pPr>
    </w:p>
    <w:p w14:paraId="65772B3D" w14:textId="77777777" w:rsidR="00413666" w:rsidRDefault="00413666" w:rsidP="00371A85">
      <w:pPr>
        <w:jc w:val="left"/>
        <w:rPr>
          <w:rFonts w:ascii="Arial" w:hAnsi="Arial" w:cs="Arial"/>
        </w:rPr>
      </w:pPr>
    </w:p>
    <w:p w14:paraId="260A688B" w14:textId="77777777" w:rsidR="00413666" w:rsidRPr="00983F6F" w:rsidRDefault="00413666" w:rsidP="00371A85">
      <w:pPr>
        <w:jc w:val="left"/>
        <w:rPr>
          <w:rFonts w:ascii="Arial" w:hAnsi="Arial" w:cs="Arial"/>
        </w:rPr>
      </w:pPr>
    </w:p>
    <w:p w14:paraId="4EE933DC" w14:textId="77777777" w:rsidR="00371A85" w:rsidRPr="00C908D4" w:rsidRDefault="00371A85" w:rsidP="009A7694">
      <w:pPr>
        <w:pStyle w:val="ARHeading2"/>
        <w:rPr>
          <w:sz w:val="24"/>
        </w:rPr>
      </w:pPr>
      <w:bookmarkStart w:id="41" w:name="_Toc458802734"/>
      <w:bookmarkStart w:id="42" w:name="_Toc524709385"/>
      <w:bookmarkStart w:id="43" w:name="_Toc390680569"/>
      <w:r w:rsidRPr="00C908D4">
        <w:lastRenderedPageBreak/>
        <w:t>2.5</w:t>
      </w:r>
      <w:r w:rsidRPr="00C908D4">
        <w:tab/>
        <w:t>Governance</w:t>
      </w:r>
      <w:bookmarkEnd w:id="41"/>
      <w:bookmarkEnd w:id="42"/>
      <w:r w:rsidRPr="00C908D4">
        <w:t xml:space="preserve"> </w:t>
      </w:r>
      <w:bookmarkEnd w:id="43"/>
    </w:p>
    <w:p w14:paraId="63776340" w14:textId="77777777" w:rsidR="00371A85" w:rsidRDefault="00371A85" w:rsidP="00371A85">
      <w:pPr>
        <w:keepNext/>
        <w:jc w:val="left"/>
        <w:rPr>
          <w:rFonts w:ascii="Arial" w:hAnsi="Arial" w:cs="Arial"/>
          <w:b/>
          <w:color w:val="00649D"/>
          <w:sz w:val="28"/>
        </w:rPr>
      </w:pPr>
      <w:bookmarkStart w:id="44" w:name="_Toc390680571"/>
    </w:p>
    <w:p w14:paraId="76277067" w14:textId="77777777" w:rsidR="00371A85" w:rsidRPr="00C908D4" w:rsidRDefault="00371A85" w:rsidP="009A7694">
      <w:pPr>
        <w:pStyle w:val="ARHeading3"/>
      </w:pPr>
      <w:r w:rsidRPr="00C908D4">
        <w:t>2.5.1</w:t>
      </w:r>
      <w:r w:rsidRPr="00C908D4">
        <w:tab/>
        <w:t>Board of Commissioners</w:t>
      </w:r>
      <w:bookmarkEnd w:id="44"/>
    </w:p>
    <w:p w14:paraId="62101DAC" w14:textId="77777777" w:rsidR="00371A85" w:rsidRPr="00983F6F" w:rsidRDefault="00371A85" w:rsidP="00371A85">
      <w:pPr>
        <w:jc w:val="left"/>
        <w:rPr>
          <w:rFonts w:ascii="Arial" w:hAnsi="Arial" w:cs="Arial"/>
          <w:szCs w:val="26"/>
        </w:rPr>
      </w:pPr>
      <w:r w:rsidRPr="00983F6F">
        <w:rPr>
          <w:rFonts w:ascii="Arial" w:hAnsi="Arial" w:cs="Arial"/>
        </w:rPr>
        <w:t xml:space="preserve">The Insurance Commission’s Board is responsible for providing effective governance and performing the functions and duties required of it under the </w:t>
      </w:r>
      <w:r w:rsidRPr="00983F6F">
        <w:rPr>
          <w:rFonts w:ascii="Arial" w:hAnsi="Arial" w:cs="Arial"/>
          <w:i/>
        </w:rPr>
        <w:t>Insurance Commission of Western Australia Act 1986</w:t>
      </w:r>
      <w:r w:rsidRPr="00983F6F">
        <w:rPr>
          <w:rFonts w:ascii="Arial" w:hAnsi="Arial" w:cs="Arial"/>
        </w:rPr>
        <w:t>.</w:t>
      </w:r>
    </w:p>
    <w:p w14:paraId="1F4F2BE0" w14:textId="77777777" w:rsidR="00371A85" w:rsidRPr="00983F6F" w:rsidRDefault="00371A85" w:rsidP="00371A85">
      <w:pPr>
        <w:jc w:val="left"/>
        <w:rPr>
          <w:rFonts w:ascii="Arial" w:hAnsi="Arial" w:cs="Arial"/>
        </w:rPr>
      </w:pPr>
    </w:p>
    <w:p w14:paraId="3B52E26D" w14:textId="77777777" w:rsidR="00371A85" w:rsidRPr="00983F6F" w:rsidRDefault="00371A85" w:rsidP="00371A85">
      <w:pPr>
        <w:jc w:val="left"/>
        <w:rPr>
          <w:rFonts w:ascii="Arial" w:hAnsi="Arial" w:cs="Arial"/>
        </w:rPr>
      </w:pPr>
      <w:r w:rsidRPr="00983F6F">
        <w:rPr>
          <w:rFonts w:ascii="Arial" w:hAnsi="Arial" w:cs="Arial"/>
        </w:rPr>
        <w:t xml:space="preserve">The Chief Executive, who is a Commissioner </w:t>
      </w:r>
      <w:r w:rsidRPr="00983F6F">
        <w:rPr>
          <w:rFonts w:ascii="Arial" w:hAnsi="Arial" w:cs="Arial"/>
          <w:i/>
        </w:rPr>
        <w:t>ex officio</w:t>
      </w:r>
      <w:r w:rsidRPr="00983F6F">
        <w:rPr>
          <w:rFonts w:ascii="Arial" w:hAnsi="Arial" w:cs="Arial"/>
        </w:rPr>
        <w:t>, is responsible for managing the operations of the Insurance Commission.</w:t>
      </w:r>
    </w:p>
    <w:p w14:paraId="75C55652" w14:textId="77777777" w:rsidR="00371A85" w:rsidRPr="00983F6F" w:rsidRDefault="00371A85" w:rsidP="00371A85">
      <w:pPr>
        <w:jc w:val="left"/>
        <w:rPr>
          <w:rFonts w:ascii="Arial" w:hAnsi="Arial" w:cs="Arial"/>
        </w:rPr>
      </w:pPr>
    </w:p>
    <w:p w14:paraId="2E8D891E" w14:textId="77777777" w:rsidR="00371A85" w:rsidRPr="00983F6F" w:rsidRDefault="00371A85" w:rsidP="00371A85">
      <w:pPr>
        <w:jc w:val="left"/>
        <w:rPr>
          <w:rFonts w:ascii="Arial" w:hAnsi="Arial" w:cs="Arial"/>
        </w:rPr>
      </w:pPr>
      <w:r w:rsidRPr="00983F6F">
        <w:rPr>
          <w:rFonts w:ascii="Arial" w:hAnsi="Arial" w:cs="Arial"/>
          <w:i/>
        </w:rPr>
        <w:t>Graphic – Governance Framework</w:t>
      </w:r>
      <w:r w:rsidRPr="00983F6F">
        <w:rPr>
          <w:rFonts w:ascii="Arial" w:hAnsi="Arial" w:cs="Arial"/>
        </w:rPr>
        <w:t xml:space="preserve">  </w:t>
      </w:r>
    </w:p>
    <w:p w14:paraId="06D20B29" w14:textId="77777777" w:rsidR="00371A85" w:rsidRPr="00983F6F" w:rsidRDefault="00371A85" w:rsidP="00371A85">
      <w:pPr>
        <w:jc w:val="left"/>
        <w:rPr>
          <w:rFonts w:ascii="Arial" w:hAnsi="Arial" w:cs="Arial"/>
        </w:rPr>
      </w:pPr>
    </w:p>
    <w:tbl>
      <w:tblPr>
        <w:tblW w:w="7796" w:type="dxa"/>
        <w:tblLook w:val="04A0" w:firstRow="1" w:lastRow="0" w:firstColumn="1" w:lastColumn="0" w:noHBand="0" w:noVBand="1"/>
      </w:tblPr>
      <w:tblGrid>
        <w:gridCol w:w="498"/>
        <w:gridCol w:w="498"/>
        <w:gridCol w:w="3560"/>
        <w:gridCol w:w="1421"/>
        <w:gridCol w:w="1819"/>
      </w:tblGrid>
      <w:tr w:rsidR="00371A85" w:rsidRPr="00983F6F" w14:paraId="0C1D782F" w14:textId="77777777" w:rsidTr="00655467">
        <w:trPr>
          <w:trHeight w:val="300"/>
        </w:trPr>
        <w:tc>
          <w:tcPr>
            <w:tcW w:w="498" w:type="dxa"/>
            <w:vMerge w:val="restart"/>
            <w:tcBorders>
              <w:top w:val="single" w:sz="4" w:space="0" w:color="auto"/>
              <w:left w:val="single" w:sz="4" w:space="0" w:color="auto"/>
              <w:right w:val="single" w:sz="4" w:space="0" w:color="auto"/>
            </w:tcBorders>
            <w:textDirection w:val="btLr"/>
          </w:tcPr>
          <w:p w14:paraId="4302CD68" w14:textId="77777777" w:rsidR="00371A85" w:rsidRPr="008A3B5A" w:rsidRDefault="00371A85" w:rsidP="00413666">
            <w:pPr>
              <w:jc w:val="center"/>
              <w:rPr>
                <w:rFonts w:ascii="Arial" w:hAnsi="Arial" w:cs="Arial"/>
                <w:color w:val="000000"/>
                <w:sz w:val="16"/>
                <w:szCs w:val="16"/>
                <w:lang w:eastAsia="en-AU"/>
              </w:rPr>
            </w:pPr>
            <w:r w:rsidRPr="008A3B5A">
              <w:rPr>
                <w:rFonts w:ascii="Arial" w:hAnsi="Arial" w:cs="Arial"/>
                <w:color w:val="000000"/>
                <w:sz w:val="16"/>
                <w:szCs w:val="16"/>
                <w:lang w:eastAsia="en-AU"/>
              </w:rPr>
              <w:t>RIS</w:t>
            </w:r>
            <w:r>
              <w:rPr>
                <w:rFonts w:ascii="Arial" w:hAnsi="Arial" w:cs="Arial"/>
                <w:color w:val="000000"/>
                <w:sz w:val="16"/>
                <w:szCs w:val="16"/>
                <w:lang w:eastAsia="en-AU"/>
              </w:rPr>
              <w:t>K</w:t>
            </w:r>
            <w:r w:rsidRPr="008A3B5A">
              <w:rPr>
                <w:rFonts w:ascii="Arial" w:hAnsi="Arial" w:cs="Arial"/>
                <w:color w:val="000000"/>
                <w:sz w:val="16"/>
                <w:szCs w:val="16"/>
                <w:lang w:eastAsia="en-AU"/>
              </w:rPr>
              <w:t xml:space="preserve"> MANAGEMENT AND COMPLIANCE</w:t>
            </w:r>
          </w:p>
        </w:tc>
        <w:tc>
          <w:tcPr>
            <w:tcW w:w="49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hideMark/>
          </w:tcPr>
          <w:p w14:paraId="5D8EDA62" w14:textId="77777777" w:rsidR="00371A85" w:rsidRPr="00983F6F" w:rsidRDefault="00371A85" w:rsidP="00413666">
            <w:pPr>
              <w:jc w:val="center"/>
              <w:rPr>
                <w:rFonts w:ascii="Arial" w:hAnsi="Arial" w:cs="Arial"/>
                <w:color w:val="000000"/>
                <w:lang w:eastAsia="en-AU"/>
              </w:rPr>
            </w:pPr>
            <w:r w:rsidRPr="00983F6F">
              <w:rPr>
                <w:rFonts w:ascii="Arial" w:hAnsi="Arial" w:cs="Arial"/>
                <w:color w:val="000000"/>
                <w:lang w:eastAsia="en-AU"/>
              </w:rPr>
              <w:t>ASSURANCE</w:t>
            </w:r>
          </w:p>
        </w:tc>
        <w:tc>
          <w:tcPr>
            <w:tcW w:w="3560" w:type="dxa"/>
            <w:tcBorders>
              <w:top w:val="single" w:sz="4" w:space="0" w:color="auto"/>
              <w:left w:val="nil"/>
              <w:bottom w:val="single" w:sz="4" w:space="0" w:color="auto"/>
              <w:right w:val="single" w:sz="4" w:space="0" w:color="auto"/>
            </w:tcBorders>
            <w:shd w:val="clear" w:color="auto" w:fill="auto"/>
            <w:noWrap/>
            <w:vAlign w:val="bottom"/>
            <w:hideMark/>
          </w:tcPr>
          <w:p w14:paraId="4C5CC601" w14:textId="77777777" w:rsidR="00371A85" w:rsidRPr="00983F6F" w:rsidRDefault="00371A85" w:rsidP="00655467">
            <w:pPr>
              <w:jc w:val="left"/>
              <w:rPr>
                <w:rFonts w:ascii="Arial" w:hAnsi="Arial" w:cs="Arial"/>
                <w:color w:val="000000"/>
                <w:lang w:eastAsia="en-AU"/>
              </w:rPr>
            </w:pPr>
            <w:r w:rsidRPr="00983F6F">
              <w:rPr>
                <w:rFonts w:ascii="Arial" w:hAnsi="Arial" w:cs="Arial"/>
                <w:color w:val="000000"/>
                <w:lang w:eastAsia="en-AU"/>
              </w:rPr>
              <w:t>Governance Framework</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24FD7D" w14:textId="77777777" w:rsidR="00371A85" w:rsidRPr="00983F6F" w:rsidRDefault="00371A85" w:rsidP="00655467">
            <w:pPr>
              <w:jc w:val="left"/>
              <w:rPr>
                <w:rFonts w:ascii="Arial" w:hAnsi="Arial" w:cs="Arial"/>
                <w:color w:val="000000"/>
                <w:lang w:eastAsia="en-AU"/>
              </w:rPr>
            </w:pPr>
            <w:r w:rsidRPr="00983F6F">
              <w:rPr>
                <w:rFonts w:ascii="Arial" w:hAnsi="Arial" w:cs="Arial"/>
                <w:color w:val="000000"/>
                <w:lang w:eastAsia="en-AU"/>
              </w:rPr>
              <w:t>Treasurer</w:t>
            </w:r>
          </w:p>
        </w:tc>
      </w:tr>
      <w:tr w:rsidR="00371A85" w:rsidRPr="00983F6F" w14:paraId="6485AAD5" w14:textId="77777777" w:rsidTr="00655467">
        <w:trPr>
          <w:trHeight w:val="300"/>
        </w:trPr>
        <w:tc>
          <w:tcPr>
            <w:tcW w:w="498" w:type="dxa"/>
            <w:vMerge/>
            <w:tcBorders>
              <w:left w:val="single" w:sz="4" w:space="0" w:color="auto"/>
              <w:right w:val="single" w:sz="4" w:space="0" w:color="auto"/>
            </w:tcBorders>
          </w:tcPr>
          <w:p w14:paraId="61985965" w14:textId="77777777" w:rsidR="00371A85" w:rsidRPr="00983F6F" w:rsidRDefault="00371A85" w:rsidP="00655467">
            <w:pPr>
              <w:jc w:val="left"/>
              <w:rPr>
                <w:rFonts w:ascii="Arial" w:hAnsi="Arial" w:cs="Arial"/>
                <w:color w:val="000000"/>
                <w:lang w:eastAsia="en-AU"/>
              </w:rPr>
            </w:pPr>
          </w:p>
        </w:tc>
        <w:tc>
          <w:tcPr>
            <w:tcW w:w="498" w:type="dxa"/>
            <w:vMerge/>
            <w:tcBorders>
              <w:top w:val="single" w:sz="4" w:space="0" w:color="auto"/>
              <w:left w:val="single" w:sz="4" w:space="0" w:color="auto"/>
              <w:bottom w:val="single" w:sz="4" w:space="0" w:color="000000"/>
              <w:right w:val="single" w:sz="4" w:space="0" w:color="auto"/>
            </w:tcBorders>
            <w:vAlign w:val="center"/>
            <w:hideMark/>
          </w:tcPr>
          <w:p w14:paraId="2CAA6BFB" w14:textId="77777777" w:rsidR="00371A85" w:rsidRPr="00983F6F" w:rsidRDefault="00371A85" w:rsidP="00655467">
            <w:pPr>
              <w:jc w:val="left"/>
              <w:rPr>
                <w:rFonts w:ascii="Arial" w:hAnsi="Arial" w:cs="Arial"/>
                <w:color w:val="000000"/>
                <w:lang w:eastAsia="en-AU"/>
              </w:rPr>
            </w:pPr>
          </w:p>
        </w:tc>
        <w:tc>
          <w:tcPr>
            <w:tcW w:w="3560" w:type="dxa"/>
            <w:tcBorders>
              <w:top w:val="nil"/>
              <w:left w:val="nil"/>
              <w:bottom w:val="single" w:sz="4" w:space="0" w:color="auto"/>
              <w:right w:val="single" w:sz="4" w:space="0" w:color="auto"/>
            </w:tcBorders>
            <w:shd w:val="clear" w:color="auto" w:fill="auto"/>
            <w:noWrap/>
            <w:vAlign w:val="bottom"/>
            <w:hideMark/>
          </w:tcPr>
          <w:p w14:paraId="20FD526E" w14:textId="77777777" w:rsidR="00371A85" w:rsidRPr="00983F6F" w:rsidRDefault="00371A85" w:rsidP="00655467">
            <w:pPr>
              <w:jc w:val="left"/>
              <w:rPr>
                <w:rFonts w:ascii="Arial" w:hAnsi="Arial" w:cs="Arial"/>
                <w:color w:val="000000"/>
                <w:lang w:eastAsia="en-AU"/>
              </w:rPr>
            </w:pPr>
            <w:r w:rsidRPr="00983F6F">
              <w:rPr>
                <w:rFonts w:ascii="Arial" w:hAnsi="Arial" w:cs="Arial"/>
                <w:color w:val="000000"/>
                <w:lang w:eastAsia="en-AU"/>
              </w:rPr>
              <w:t>Audit and Risk Committee</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FFC0F" w14:textId="77777777" w:rsidR="00371A85" w:rsidRPr="00983F6F" w:rsidRDefault="00371A85" w:rsidP="00655467">
            <w:pPr>
              <w:jc w:val="left"/>
              <w:rPr>
                <w:rFonts w:ascii="Arial" w:hAnsi="Arial" w:cs="Arial"/>
                <w:color w:val="000000"/>
                <w:lang w:eastAsia="en-AU"/>
              </w:rPr>
            </w:pPr>
            <w:r w:rsidRPr="00983F6F">
              <w:rPr>
                <w:rFonts w:ascii="Arial" w:hAnsi="Arial" w:cs="Arial"/>
                <w:color w:val="000000"/>
                <w:lang w:eastAsia="en-AU"/>
              </w:rPr>
              <w:t>Board of Commissioners</w:t>
            </w:r>
          </w:p>
        </w:tc>
      </w:tr>
      <w:tr w:rsidR="00371A85" w:rsidRPr="00983F6F" w14:paraId="01EA281C" w14:textId="77777777" w:rsidTr="00655467">
        <w:trPr>
          <w:trHeight w:val="300"/>
        </w:trPr>
        <w:tc>
          <w:tcPr>
            <w:tcW w:w="498" w:type="dxa"/>
            <w:vMerge/>
            <w:tcBorders>
              <w:left w:val="single" w:sz="4" w:space="0" w:color="auto"/>
              <w:right w:val="single" w:sz="4" w:space="0" w:color="auto"/>
            </w:tcBorders>
          </w:tcPr>
          <w:p w14:paraId="76F78FFB" w14:textId="77777777" w:rsidR="00371A85" w:rsidRPr="00983F6F" w:rsidRDefault="00371A85" w:rsidP="00655467">
            <w:pPr>
              <w:jc w:val="left"/>
              <w:rPr>
                <w:rFonts w:ascii="Arial" w:hAnsi="Arial" w:cs="Arial"/>
                <w:color w:val="000000"/>
                <w:lang w:eastAsia="en-AU"/>
              </w:rPr>
            </w:pPr>
          </w:p>
        </w:tc>
        <w:tc>
          <w:tcPr>
            <w:tcW w:w="498" w:type="dxa"/>
            <w:vMerge/>
            <w:tcBorders>
              <w:top w:val="single" w:sz="4" w:space="0" w:color="auto"/>
              <w:left w:val="single" w:sz="4" w:space="0" w:color="auto"/>
              <w:bottom w:val="single" w:sz="4" w:space="0" w:color="000000"/>
              <w:right w:val="single" w:sz="4" w:space="0" w:color="auto"/>
            </w:tcBorders>
            <w:vAlign w:val="center"/>
            <w:hideMark/>
          </w:tcPr>
          <w:p w14:paraId="125B91E3" w14:textId="77777777" w:rsidR="00371A85" w:rsidRPr="00983F6F" w:rsidRDefault="00371A85" w:rsidP="00655467">
            <w:pPr>
              <w:jc w:val="left"/>
              <w:rPr>
                <w:rFonts w:ascii="Arial" w:hAnsi="Arial" w:cs="Arial"/>
                <w:color w:val="000000"/>
                <w:lang w:eastAsia="en-AU"/>
              </w:rPr>
            </w:pPr>
          </w:p>
        </w:tc>
        <w:tc>
          <w:tcPr>
            <w:tcW w:w="3560" w:type="dxa"/>
            <w:tcBorders>
              <w:top w:val="nil"/>
              <w:left w:val="nil"/>
              <w:bottom w:val="single" w:sz="4" w:space="0" w:color="auto"/>
              <w:right w:val="single" w:sz="4" w:space="0" w:color="auto"/>
            </w:tcBorders>
            <w:shd w:val="clear" w:color="auto" w:fill="auto"/>
            <w:noWrap/>
            <w:vAlign w:val="bottom"/>
            <w:hideMark/>
          </w:tcPr>
          <w:p w14:paraId="5DF87520" w14:textId="77777777" w:rsidR="00371A85" w:rsidRPr="00983F6F" w:rsidRDefault="00371A85" w:rsidP="00655467">
            <w:pPr>
              <w:jc w:val="left"/>
              <w:rPr>
                <w:rFonts w:ascii="Arial" w:hAnsi="Arial" w:cs="Arial"/>
                <w:color w:val="000000"/>
                <w:lang w:eastAsia="en-AU"/>
              </w:rPr>
            </w:pPr>
            <w:r w:rsidRPr="00983F6F">
              <w:rPr>
                <w:rFonts w:ascii="Arial" w:hAnsi="Arial" w:cs="Arial"/>
                <w:color w:val="000000"/>
                <w:lang w:eastAsia="en-AU"/>
              </w:rPr>
              <w:t>External Audit</w:t>
            </w:r>
          </w:p>
        </w:tc>
        <w:tc>
          <w:tcPr>
            <w:tcW w:w="1421" w:type="dxa"/>
            <w:tcBorders>
              <w:top w:val="nil"/>
              <w:left w:val="nil"/>
              <w:bottom w:val="single" w:sz="4" w:space="0" w:color="auto"/>
              <w:right w:val="single" w:sz="4" w:space="0" w:color="auto"/>
            </w:tcBorders>
            <w:shd w:val="clear" w:color="auto" w:fill="auto"/>
            <w:noWrap/>
            <w:vAlign w:val="bottom"/>
            <w:hideMark/>
          </w:tcPr>
          <w:p w14:paraId="1FB2274A" w14:textId="77777777" w:rsidR="00371A85" w:rsidRPr="00983F6F" w:rsidRDefault="00371A85" w:rsidP="00655467">
            <w:pPr>
              <w:jc w:val="left"/>
              <w:rPr>
                <w:rFonts w:ascii="Arial" w:hAnsi="Arial" w:cs="Arial"/>
                <w:color w:val="000000"/>
                <w:sz w:val="16"/>
                <w:szCs w:val="16"/>
                <w:lang w:eastAsia="en-AU"/>
              </w:rPr>
            </w:pPr>
            <w:r w:rsidRPr="00983F6F">
              <w:rPr>
                <w:rFonts w:ascii="Arial" w:hAnsi="Arial" w:cs="Arial"/>
                <w:color w:val="000000"/>
                <w:sz w:val="16"/>
                <w:szCs w:val="16"/>
                <w:lang w:eastAsia="en-AU"/>
              </w:rPr>
              <w:t xml:space="preserve">Delegation </w:t>
            </w:r>
          </w:p>
        </w:tc>
        <w:tc>
          <w:tcPr>
            <w:tcW w:w="1819" w:type="dxa"/>
            <w:tcBorders>
              <w:top w:val="nil"/>
              <w:left w:val="nil"/>
              <w:bottom w:val="single" w:sz="4" w:space="0" w:color="auto"/>
              <w:right w:val="single" w:sz="4" w:space="0" w:color="auto"/>
            </w:tcBorders>
            <w:shd w:val="clear" w:color="auto" w:fill="auto"/>
            <w:noWrap/>
            <w:vAlign w:val="bottom"/>
            <w:hideMark/>
          </w:tcPr>
          <w:p w14:paraId="109A137C" w14:textId="77777777" w:rsidR="00371A85" w:rsidRPr="00983F6F" w:rsidRDefault="00371A85" w:rsidP="00655467">
            <w:pPr>
              <w:jc w:val="left"/>
              <w:rPr>
                <w:rFonts w:ascii="Arial" w:hAnsi="Arial" w:cs="Arial"/>
                <w:color w:val="000000"/>
                <w:sz w:val="16"/>
                <w:szCs w:val="16"/>
                <w:lang w:eastAsia="en-AU"/>
              </w:rPr>
            </w:pPr>
            <w:r w:rsidRPr="00983F6F">
              <w:rPr>
                <w:rFonts w:ascii="Arial" w:hAnsi="Arial" w:cs="Arial"/>
                <w:color w:val="000000"/>
                <w:sz w:val="16"/>
                <w:szCs w:val="16"/>
                <w:lang w:eastAsia="en-AU"/>
              </w:rPr>
              <w:t>Accountability</w:t>
            </w:r>
          </w:p>
        </w:tc>
      </w:tr>
      <w:tr w:rsidR="00371A85" w:rsidRPr="00983F6F" w14:paraId="300978C2" w14:textId="77777777" w:rsidTr="00655467">
        <w:trPr>
          <w:trHeight w:val="300"/>
        </w:trPr>
        <w:tc>
          <w:tcPr>
            <w:tcW w:w="498" w:type="dxa"/>
            <w:vMerge/>
            <w:tcBorders>
              <w:left w:val="single" w:sz="4" w:space="0" w:color="auto"/>
              <w:right w:val="single" w:sz="4" w:space="0" w:color="auto"/>
            </w:tcBorders>
          </w:tcPr>
          <w:p w14:paraId="0F116628" w14:textId="77777777" w:rsidR="00371A85" w:rsidRPr="00983F6F" w:rsidRDefault="00371A85" w:rsidP="00655467">
            <w:pPr>
              <w:jc w:val="left"/>
              <w:rPr>
                <w:rFonts w:ascii="Arial" w:hAnsi="Arial" w:cs="Arial"/>
                <w:color w:val="000000"/>
                <w:lang w:eastAsia="en-AU"/>
              </w:rPr>
            </w:pPr>
          </w:p>
        </w:tc>
        <w:tc>
          <w:tcPr>
            <w:tcW w:w="498" w:type="dxa"/>
            <w:vMerge/>
            <w:tcBorders>
              <w:top w:val="single" w:sz="4" w:space="0" w:color="auto"/>
              <w:left w:val="single" w:sz="4" w:space="0" w:color="auto"/>
              <w:bottom w:val="single" w:sz="4" w:space="0" w:color="000000"/>
              <w:right w:val="single" w:sz="4" w:space="0" w:color="auto"/>
            </w:tcBorders>
            <w:vAlign w:val="center"/>
            <w:hideMark/>
          </w:tcPr>
          <w:p w14:paraId="2988D7EA" w14:textId="77777777" w:rsidR="00371A85" w:rsidRPr="00983F6F" w:rsidRDefault="00371A85" w:rsidP="00655467">
            <w:pPr>
              <w:jc w:val="left"/>
              <w:rPr>
                <w:rFonts w:ascii="Arial" w:hAnsi="Arial" w:cs="Arial"/>
                <w:color w:val="000000"/>
                <w:lang w:eastAsia="en-AU"/>
              </w:rPr>
            </w:pPr>
          </w:p>
        </w:tc>
        <w:tc>
          <w:tcPr>
            <w:tcW w:w="3560" w:type="dxa"/>
            <w:tcBorders>
              <w:top w:val="nil"/>
              <w:left w:val="nil"/>
              <w:bottom w:val="single" w:sz="4" w:space="0" w:color="auto"/>
              <w:right w:val="single" w:sz="4" w:space="0" w:color="auto"/>
            </w:tcBorders>
            <w:shd w:val="clear" w:color="auto" w:fill="auto"/>
            <w:noWrap/>
            <w:vAlign w:val="bottom"/>
            <w:hideMark/>
          </w:tcPr>
          <w:p w14:paraId="01CFEC27" w14:textId="77777777" w:rsidR="00371A85" w:rsidRPr="00983F6F" w:rsidRDefault="00371A85" w:rsidP="00655467">
            <w:pPr>
              <w:jc w:val="left"/>
              <w:rPr>
                <w:rFonts w:ascii="Arial" w:hAnsi="Arial" w:cs="Arial"/>
                <w:color w:val="000000"/>
                <w:lang w:eastAsia="en-AU"/>
              </w:rPr>
            </w:pPr>
            <w:r w:rsidRPr="00983F6F">
              <w:rPr>
                <w:rFonts w:ascii="Arial" w:hAnsi="Arial" w:cs="Arial"/>
                <w:color w:val="000000"/>
                <w:lang w:eastAsia="en-AU"/>
              </w:rPr>
              <w:t>Internal Audit</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A333DD" w14:textId="77777777" w:rsidR="00371A85" w:rsidRPr="00983F6F" w:rsidRDefault="00371A85" w:rsidP="00655467">
            <w:pPr>
              <w:jc w:val="left"/>
              <w:rPr>
                <w:rFonts w:ascii="Arial" w:hAnsi="Arial" w:cs="Arial"/>
                <w:color w:val="000000"/>
                <w:lang w:eastAsia="en-AU"/>
              </w:rPr>
            </w:pPr>
            <w:r w:rsidRPr="00983F6F">
              <w:rPr>
                <w:rFonts w:ascii="Arial" w:hAnsi="Arial" w:cs="Arial"/>
                <w:color w:val="000000"/>
                <w:lang w:eastAsia="en-AU"/>
              </w:rPr>
              <w:t>Chief Executive</w:t>
            </w:r>
          </w:p>
        </w:tc>
      </w:tr>
      <w:tr w:rsidR="00371A85" w:rsidRPr="00983F6F" w14:paraId="2E797EA0" w14:textId="77777777" w:rsidTr="00655467">
        <w:trPr>
          <w:trHeight w:val="300"/>
        </w:trPr>
        <w:tc>
          <w:tcPr>
            <w:tcW w:w="498" w:type="dxa"/>
            <w:vMerge/>
            <w:tcBorders>
              <w:left w:val="single" w:sz="4" w:space="0" w:color="auto"/>
              <w:bottom w:val="single" w:sz="4" w:space="0" w:color="000000"/>
              <w:right w:val="single" w:sz="4" w:space="0" w:color="auto"/>
            </w:tcBorders>
          </w:tcPr>
          <w:p w14:paraId="766A824A" w14:textId="77777777" w:rsidR="00371A85" w:rsidRPr="00983F6F" w:rsidRDefault="00371A85" w:rsidP="00655467">
            <w:pPr>
              <w:jc w:val="left"/>
              <w:rPr>
                <w:rFonts w:ascii="Arial" w:hAnsi="Arial" w:cs="Arial"/>
                <w:color w:val="000000"/>
                <w:lang w:eastAsia="en-AU"/>
              </w:rPr>
            </w:pPr>
          </w:p>
        </w:tc>
        <w:tc>
          <w:tcPr>
            <w:tcW w:w="498" w:type="dxa"/>
            <w:vMerge/>
            <w:tcBorders>
              <w:top w:val="single" w:sz="4" w:space="0" w:color="auto"/>
              <w:left w:val="single" w:sz="4" w:space="0" w:color="auto"/>
              <w:bottom w:val="single" w:sz="4" w:space="0" w:color="000000"/>
              <w:right w:val="single" w:sz="4" w:space="0" w:color="auto"/>
            </w:tcBorders>
            <w:vAlign w:val="center"/>
            <w:hideMark/>
          </w:tcPr>
          <w:p w14:paraId="6F154C96" w14:textId="77777777" w:rsidR="00371A85" w:rsidRPr="00983F6F" w:rsidRDefault="00371A85" w:rsidP="00655467">
            <w:pPr>
              <w:jc w:val="left"/>
              <w:rPr>
                <w:rFonts w:ascii="Arial" w:hAnsi="Arial" w:cs="Arial"/>
                <w:color w:val="000000"/>
                <w:lang w:eastAsia="en-AU"/>
              </w:rPr>
            </w:pPr>
          </w:p>
        </w:tc>
        <w:tc>
          <w:tcPr>
            <w:tcW w:w="3560" w:type="dxa"/>
            <w:tcBorders>
              <w:top w:val="nil"/>
              <w:left w:val="nil"/>
              <w:bottom w:val="single" w:sz="4" w:space="0" w:color="auto"/>
              <w:right w:val="single" w:sz="4" w:space="0" w:color="auto"/>
            </w:tcBorders>
            <w:shd w:val="clear" w:color="auto" w:fill="auto"/>
            <w:noWrap/>
            <w:vAlign w:val="bottom"/>
            <w:hideMark/>
          </w:tcPr>
          <w:p w14:paraId="1F281280" w14:textId="77777777" w:rsidR="00371A85" w:rsidRPr="00983F6F" w:rsidRDefault="00371A85" w:rsidP="00655467">
            <w:pPr>
              <w:jc w:val="left"/>
              <w:rPr>
                <w:rFonts w:ascii="Arial" w:hAnsi="Arial" w:cs="Arial"/>
                <w:color w:val="000000"/>
                <w:lang w:eastAsia="en-AU"/>
              </w:rPr>
            </w:pPr>
            <w:r w:rsidRPr="00983F6F">
              <w:rPr>
                <w:rFonts w:ascii="Arial" w:hAnsi="Arial" w:cs="Arial"/>
                <w:color w:val="000000"/>
                <w:lang w:eastAsia="en-AU"/>
              </w:rPr>
              <w:t>Internal Policies and Procedures</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5A83A7" w14:textId="77777777" w:rsidR="00371A85" w:rsidRPr="00983F6F" w:rsidRDefault="00371A85" w:rsidP="00655467">
            <w:pPr>
              <w:jc w:val="left"/>
              <w:rPr>
                <w:rFonts w:ascii="Arial" w:hAnsi="Arial" w:cs="Arial"/>
                <w:color w:val="000000"/>
                <w:lang w:eastAsia="en-AU"/>
              </w:rPr>
            </w:pPr>
            <w:r w:rsidRPr="00983F6F">
              <w:rPr>
                <w:rFonts w:ascii="Arial" w:hAnsi="Arial" w:cs="Arial"/>
                <w:color w:val="000000"/>
                <w:lang w:eastAsia="en-AU"/>
              </w:rPr>
              <w:t>Executive Team</w:t>
            </w:r>
          </w:p>
        </w:tc>
      </w:tr>
    </w:tbl>
    <w:p w14:paraId="05FB9B9E" w14:textId="77777777" w:rsidR="00371A85" w:rsidRPr="00983F6F" w:rsidRDefault="00371A85" w:rsidP="00371A85">
      <w:pPr>
        <w:jc w:val="left"/>
        <w:rPr>
          <w:rFonts w:ascii="Arial" w:hAnsi="Arial" w:cs="Arial"/>
        </w:rPr>
      </w:pPr>
    </w:p>
    <w:p w14:paraId="208DA78F" w14:textId="77777777" w:rsidR="00371A85" w:rsidRDefault="00371A85" w:rsidP="00371A85">
      <w:pPr>
        <w:jc w:val="left"/>
        <w:rPr>
          <w:rFonts w:ascii="Arial" w:hAnsi="Arial" w:cs="Arial"/>
          <w:b/>
          <w:sz w:val="18"/>
          <w:szCs w:val="16"/>
        </w:rPr>
      </w:pPr>
      <w:r w:rsidRPr="00983F6F">
        <w:rPr>
          <w:rFonts w:ascii="Arial" w:hAnsi="Arial" w:cs="Arial"/>
          <w:b/>
          <w:noProof/>
          <w:sz w:val="18"/>
          <w:szCs w:val="16"/>
          <w:lang w:eastAsia="en-AU"/>
        </w:rPr>
        <w:drawing>
          <wp:inline distT="0" distB="0" distL="0" distR="0" wp14:anchorId="2AC3AB39" wp14:editId="2F8C637A">
            <wp:extent cx="5791200" cy="3886200"/>
            <wp:effectExtent l="0" t="0" r="0" b="0"/>
            <wp:docPr id="4" name="Picture 4" descr="_C5A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C5A98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886200"/>
                    </a:xfrm>
                    <a:prstGeom prst="rect">
                      <a:avLst/>
                    </a:prstGeom>
                    <a:noFill/>
                    <a:ln>
                      <a:noFill/>
                    </a:ln>
                  </pic:spPr>
                </pic:pic>
              </a:graphicData>
            </a:graphic>
          </wp:inline>
        </w:drawing>
      </w:r>
    </w:p>
    <w:p w14:paraId="7561E466" w14:textId="77777777" w:rsidR="00371A85" w:rsidRPr="00983F6F" w:rsidRDefault="00371A85" w:rsidP="00371A85">
      <w:pPr>
        <w:jc w:val="left"/>
        <w:rPr>
          <w:rFonts w:ascii="Arial" w:hAnsi="Arial" w:cs="Arial"/>
          <w:b/>
          <w:sz w:val="18"/>
          <w:szCs w:val="16"/>
        </w:rPr>
      </w:pPr>
    </w:p>
    <w:p w14:paraId="478419E3" w14:textId="77777777" w:rsidR="00371A85" w:rsidRPr="00983F6F" w:rsidRDefault="00371A85" w:rsidP="00371A85">
      <w:pPr>
        <w:jc w:val="left"/>
        <w:rPr>
          <w:rFonts w:ascii="Arial" w:hAnsi="Arial" w:cs="Arial"/>
          <w:sz w:val="18"/>
          <w:szCs w:val="16"/>
        </w:rPr>
      </w:pPr>
      <w:r w:rsidRPr="00983F6F">
        <w:rPr>
          <w:rFonts w:ascii="Arial" w:hAnsi="Arial" w:cs="Arial"/>
          <w:b/>
          <w:sz w:val="18"/>
          <w:szCs w:val="16"/>
        </w:rPr>
        <w:t>From left:</w:t>
      </w:r>
      <w:r w:rsidRPr="00983F6F">
        <w:rPr>
          <w:rFonts w:ascii="Arial" w:hAnsi="Arial" w:cs="Arial"/>
          <w:sz w:val="18"/>
          <w:szCs w:val="16"/>
        </w:rPr>
        <w:t xml:space="preserve"> Rod Whithear (Commissioner </w:t>
      </w:r>
      <w:r w:rsidRPr="00983F6F">
        <w:rPr>
          <w:rFonts w:ascii="Arial" w:hAnsi="Arial" w:cs="Arial"/>
          <w:i/>
          <w:sz w:val="18"/>
          <w:szCs w:val="16"/>
        </w:rPr>
        <w:t>ex officio</w:t>
      </w:r>
      <w:r w:rsidRPr="00983F6F">
        <w:rPr>
          <w:rFonts w:ascii="Arial" w:hAnsi="Arial" w:cs="Arial"/>
          <w:sz w:val="18"/>
          <w:szCs w:val="16"/>
        </w:rPr>
        <w:t xml:space="preserve">), Rob </w:t>
      </w:r>
      <w:proofErr w:type="spellStart"/>
      <w:r w:rsidRPr="00983F6F">
        <w:rPr>
          <w:rFonts w:ascii="Arial" w:hAnsi="Arial" w:cs="Arial"/>
          <w:sz w:val="18"/>
          <w:szCs w:val="16"/>
        </w:rPr>
        <w:t>Bransby</w:t>
      </w:r>
      <w:proofErr w:type="spellEnd"/>
      <w:r w:rsidRPr="00983F6F">
        <w:rPr>
          <w:rFonts w:ascii="Arial" w:hAnsi="Arial" w:cs="Arial"/>
          <w:sz w:val="18"/>
          <w:szCs w:val="16"/>
        </w:rPr>
        <w:t xml:space="preserve"> (Commissioner), John Scott (Deputy Chairman), Andrea Hall (Commissioner), Yasmin Broughton (Commission</w:t>
      </w:r>
      <w:r>
        <w:rPr>
          <w:rFonts w:ascii="Arial" w:hAnsi="Arial" w:cs="Arial"/>
          <w:sz w:val="18"/>
          <w:szCs w:val="16"/>
        </w:rPr>
        <w:t>er), Carol Dolan (Commissioner)</w:t>
      </w:r>
      <w:r w:rsidRPr="00983F6F">
        <w:rPr>
          <w:rFonts w:ascii="Arial" w:hAnsi="Arial" w:cs="Arial"/>
          <w:sz w:val="18"/>
          <w:szCs w:val="16"/>
        </w:rPr>
        <w:t xml:space="preserve"> and Frank Cooper AO (Chairman). </w:t>
      </w:r>
    </w:p>
    <w:p w14:paraId="31E1E49E" w14:textId="77777777" w:rsidR="00371A85" w:rsidRDefault="00371A85" w:rsidP="00371A85">
      <w:pPr>
        <w:jc w:val="left"/>
        <w:rPr>
          <w:rFonts w:ascii="Arial" w:hAnsi="Arial" w:cs="Arial"/>
          <w:sz w:val="18"/>
          <w:szCs w:val="16"/>
        </w:rPr>
      </w:pPr>
    </w:p>
    <w:p w14:paraId="7859573D" w14:textId="77777777" w:rsidR="00413666" w:rsidRDefault="00413666" w:rsidP="00371A85">
      <w:pPr>
        <w:jc w:val="left"/>
        <w:rPr>
          <w:rFonts w:ascii="Arial" w:hAnsi="Arial" w:cs="Arial"/>
          <w:sz w:val="18"/>
          <w:szCs w:val="16"/>
        </w:rPr>
      </w:pPr>
    </w:p>
    <w:p w14:paraId="1674A896" w14:textId="77777777" w:rsidR="00413666" w:rsidRDefault="00413666" w:rsidP="00371A85">
      <w:pPr>
        <w:jc w:val="left"/>
        <w:rPr>
          <w:rFonts w:ascii="Arial" w:hAnsi="Arial" w:cs="Arial"/>
          <w:sz w:val="18"/>
          <w:szCs w:val="16"/>
        </w:rPr>
      </w:pPr>
    </w:p>
    <w:p w14:paraId="14744BDA" w14:textId="77777777" w:rsidR="00413666" w:rsidRDefault="00413666" w:rsidP="00371A85">
      <w:pPr>
        <w:jc w:val="left"/>
        <w:rPr>
          <w:rFonts w:ascii="Arial" w:hAnsi="Arial" w:cs="Arial"/>
          <w:sz w:val="18"/>
          <w:szCs w:val="16"/>
        </w:rPr>
      </w:pPr>
    </w:p>
    <w:p w14:paraId="4C8E9701" w14:textId="77777777" w:rsidR="00413666" w:rsidRPr="00983F6F" w:rsidRDefault="00413666" w:rsidP="00371A85">
      <w:pPr>
        <w:jc w:val="left"/>
        <w:rPr>
          <w:rFonts w:ascii="Arial" w:hAnsi="Arial" w:cs="Arial"/>
          <w:sz w:val="18"/>
          <w:szCs w:val="16"/>
        </w:rPr>
      </w:pPr>
    </w:p>
    <w:p w14:paraId="420C625B" w14:textId="77777777" w:rsidR="00371A85" w:rsidRPr="00C908D4" w:rsidRDefault="00371A85" w:rsidP="009A7694">
      <w:pPr>
        <w:pStyle w:val="ARHeading3"/>
      </w:pPr>
      <w:bookmarkStart w:id="45" w:name="_Toc390680572"/>
      <w:r w:rsidRPr="00C908D4">
        <w:lastRenderedPageBreak/>
        <w:t>2.5.2</w:t>
      </w:r>
      <w:r w:rsidRPr="00C908D4">
        <w:tab/>
        <w:t>Executive Team</w:t>
      </w:r>
      <w:bookmarkEnd w:id="45"/>
    </w:p>
    <w:p w14:paraId="7026188B" w14:textId="77777777" w:rsidR="00371A85" w:rsidRPr="00983F6F" w:rsidRDefault="00371A85" w:rsidP="00371A85">
      <w:pPr>
        <w:jc w:val="left"/>
        <w:rPr>
          <w:rFonts w:ascii="Arial" w:hAnsi="Arial" w:cs="Arial"/>
          <w:b/>
          <w:sz w:val="18"/>
          <w:szCs w:val="16"/>
          <w:highlight w:val="yellow"/>
        </w:rPr>
      </w:pPr>
    </w:p>
    <w:p w14:paraId="00888463" w14:textId="77777777" w:rsidR="00371A85" w:rsidRDefault="00371A85" w:rsidP="00371A85">
      <w:pPr>
        <w:jc w:val="left"/>
        <w:rPr>
          <w:rFonts w:ascii="Arial" w:hAnsi="Arial" w:cs="Arial"/>
          <w:b/>
          <w:sz w:val="18"/>
          <w:szCs w:val="16"/>
          <w:highlight w:val="yellow"/>
        </w:rPr>
      </w:pPr>
      <w:r w:rsidRPr="00983F6F">
        <w:rPr>
          <w:rFonts w:ascii="Arial" w:hAnsi="Arial" w:cs="Arial"/>
          <w:b/>
          <w:noProof/>
          <w:sz w:val="18"/>
          <w:szCs w:val="16"/>
          <w:highlight w:val="yellow"/>
          <w:lang w:eastAsia="en-AU"/>
        </w:rPr>
        <w:drawing>
          <wp:inline distT="0" distB="0" distL="0" distR="0" wp14:anchorId="37D11AE2" wp14:editId="6C012897">
            <wp:extent cx="5848350" cy="3895725"/>
            <wp:effectExtent l="0" t="0" r="0" b="9525"/>
            <wp:docPr id="3" name="Picture 3" descr="_C5A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C5A98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895725"/>
                    </a:xfrm>
                    <a:prstGeom prst="rect">
                      <a:avLst/>
                    </a:prstGeom>
                    <a:noFill/>
                    <a:ln>
                      <a:noFill/>
                    </a:ln>
                  </pic:spPr>
                </pic:pic>
              </a:graphicData>
            </a:graphic>
          </wp:inline>
        </w:drawing>
      </w:r>
    </w:p>
    <w:p w14:paraId="104B6F0F" w14:textId="77777777" w:rsidR="00371A85" w:rsidRPr="00983F6F" w:rsidRDefault="00371A85" w:rsidP="00371A85">
      <w:pPr>
        <w:jc w:val="left"/>
        <w:rPr>
          <w:rFonts w:ascii="Arial" w:hAnsi="Arial" w:cs="Arial"/>
          <w:b/>
          <w:sz w:val="18"/>
          <w:szCs w:val="16"/>
          <w:highlight w:val="yellow"/>
        </w:rPr>
      </w:pPr>
    </w:p>
    <w:p w14:paraId="38F0428E" w14:textId="77777777" w:rsidR="00371A85" w:rsidRPr="00983F6F" w:rsidRDefault="00371A85" w:rsidP="00371A85">
      <w:pPr>
        <w:jc w:val="left"/>
        <w:rPr>
          <w:rFonts w:ascii="Arial" w:hAnsi="Arial" w:cs="Arial"/>
          <w:b/>
          <w:sz w:val="18"/>
          <w:szCs w:val="16"/>
        </w:rPr>
      </w:pPr>
      <w:r w:rsidRPr="00983F6F">
        <w:rPr>
          <w:rFonts w:ascii="Arial" w:hAnsi="Arial" w:cs="Arial"/>
          <w:b/>
          <w:sz w:val="18"/>
          <w:szCs w:val="16"/>
        </w:rPr>
        <w:t xml:space="preserve">Back row from left: </w:t>
      </w:r>
      <w:r w:rsidRPr="00983F6F">
        <w:rPr>
          <w:rFonts w:ascii="Arial" w:hAnsi="Arial" w:cs="Arial"/>
          <w:sz w:val="18"/>
          <w:szCs w:val="16"/>
        </w:rPr>
        <w:t xml:space="preserve">Glenn Myers (Chief Information Officer), Fab Zanuttigh (General Manager Motor Injury Insurance), Julie O’Neill (Chief Investment Officer), Bruce Meredith (General Counsel), Grant Speight (General Manager Human Resources), Kane Blackman (Commission Secretary), Rick Howe (Deputy Chief Executive) and Damon de </w:t>
      </w:r>
      <w:proofErr w:type="spellStart"/>
      <w:r w:rsidRPr="00983F6F">
        <w:rPr>
          <w:rFonts w:ascii="Arial" w:hAnsi="Arial" w:cs="Arial"/>
          <w:sz w:val="18"/>
          <w:szCs w:val="16"/>
        </w:rPr>
        <w:t>Nooyer</w:t>
      </w:r>
      <w:proofErr w:type="spellEnd"/>
      <w:r w:rsidRPr="00983F6F">
        <w:rPr>
          <w:rFonts w:ascii="Arial" w:hAnsi="Arial" w:cs="Arial"/>
          <w:sz w:val="18"/>
          <w:szCs w:val="16"/>
        </w:rPr>
        <w:t xml:space="preserve"> (Chief Finance Officer).</w:t>
      </w:r>
    </w:p>
    <w:p w14:paraId="74361816" w14:textId="77777777" w:rsidR="00371A85" w:rsidRPr="00983F6F" w:rsidRDefault="00371A85" w:rsidP="00371A85">
      <w:pPr>
        <w:jc w:val="left"/>
        <w:rPr>
          <w:rFonts w:ascii="Arial" w:hAnsi="Arial" w:cs="Arial"/>
          <w:b/>
          <w:sz w:val="18"/>
          <w:szCs w:val="16"/>
        </w:rPr>
      </w:pPr>
    </w:p>
    <w:p w14:paraId="5A470C10" w14:textId="77777777" w:rsidR="00371A85" w:rsidRPr="00983F6F" w:rsidRDefault="00371A85" w:rsidP="00371A85">
      <w:pPr>
        <w:jc w:val="left"/>
        <w:rPr>
          <w:rFonts w:ascii="Arial" w:hAnsi="Arial" w:cs="Arial"/>
          <w:sz w:val="18"/>
          <w:szCs w:val="16"/>
        </w:rPr>
      </w:pPr>
      <w:r w:rsidRPr="00983F6F">
        <w:rPr>
          <w:rFonts w:ascii="Arial" w:hAnsi="Arial" w:cs="Arial"/>
          <w:b/>
          <w:sz w:val="18"/>
          <w:szCs w:val="16"/>
        </w:rPr>
        <w:t xml:space="preserve">Seated from left: </w:t>
      </w:r>
      <w:r w:rsidRPr="00983F6F">
        <w:rPr>
          <w:rFonts w:ascii="Arial" w:hAnsi="Arial" w:cs="Arial"/>
          <w:sz w:val="18"/>
          <w:szCs w:val="16"/>
        </w:rPr>
        <w:t xml:space="preserve">Janice Gardner (General Manager RiskCover) and Rod Whithear (Chief Executive). </w:t>
      </w:r>
      <w:bookmarkStart w:id="46" w:name="_Toc390680573"/>
    </w:p>
    <w:p w14:paraId="72A69641" w14:textId="77777777" w:rsidR="00371A85" w:rsidRDefault="00371A85" w:rsidP="00371A85">
      <w:pPr>
        <w:jc w:val="left"/>
        <w:rPr>
          <w:rFonts w:ascii="Arial" w:hAnsi="Arial" w:cs="Arial"/>
          <w:sz w:val="18"/>
          <w:szCs w:val="16"/>
        </w:rPr>
      </w:pPr>
    </w:p>
    <w:p w14:paraId="27C2A551" w14:textId="77777777" w:rsidR="00413666" w:rsidRDefault="00413666" w:rsidP="00371A85">
      <w:pPr>
        <w:jc w:val="left"/>
        <w:rPr>
          <w:rFonts w:ascii="Arial" w:hAnsi="Arial" w:cs="Arial"/>
          <w:sz w:val="18"/>
          <w:szCs w:val="16"/>
        </w:rPr>
      </w:pPr>
    </w:p>
    <w:p w14:paraId="714CEC50" w14:textId="77777777" w:rsidR="00413666" w:rsidRDefault="00413666" w:rsidP="00371A85">
      <w:pPr>
        <w:jc w:val="left"/>
        <w:rPr>
          <w:rFonts w:ascii="Arial" w:hAnsi="Arial" w:cs="Arial"/>
          <w:sz w:val="18"/>
          <w:szCs w:val="16"/>
        </w:rPr>
      </w:pPr>
    </w:p>
    <w:p w14:paraId="2F12BBBD" w14:textId="77777777" w:rsidR="00413666" w:rsidRDefault="00413666" w:rsidP="00371A85">
      <w:pPr>
        <w:jc w:val="left"/>
        <w:rPr>
          <w:rFonts w:ascii="Arial" w:hAnsi="Arial" w:cs="Arial"/>
          <w:sz w:val="18"/>
          <w:szCs w:val="16"/>
        </w:rPr>
      </w:pPr>
    </w:p>
    <w:p w14:paraId="7CB9131B" w14:textId="77777777" w:rsidR="00413666" w:rsidRDefault="00413666" w:rsidP="00371A85">
      <w:pPr>
        <w:jc w:val="left"/>
        <w:rPr>
          <w:rFonts w:ascii="Arial" w:hAnsi="Arial" w:cs="Arial"/>
          <w:sz w:val="18"/>
          <w:szCs w:val="16"/>
        </w:rPr>
      </w:pPr>
    </w:p>
    <w:p w14:paraId="631EDDA8" w14:textId="77777777" w:rsidR="00413666" w:rsidRDefault="00413666" w:rsidP="00371A85">
      <w:pPr>
        <w:jc w:val="left"/>
        <w:rPr>
          <w:rFonts w:ascii="Arial" w:hAnsi="Arial" w:cs="Arial"/>
          <w:sz w:val="18"/>
          <w:szCs w:val="16"/>
        </w:rPr>
      </w:pPr>
    </w:p>
    <w:p w14:paraId="322A50C5" w14:textId="77777777" w:rsidR="00413666" w:rsidRDefault="00413666" w:rsidP="00371A85">
      <w:pPr>
        <w:jc w:val="left"/>
        <w:rPr>
          <w:rFonts w:ascii="Arial" w:hAnsi="Arial" w:cs="Arial"/>
          <w:sz w:val="18"/>
          <w:szCs w:val="16"/>
        </w:rPr>
      </w:pPr>
    </w:p>
    <w:p w14:paraId="1C696E22" w14:textId="77777777" w:rsidR="00413666" w:rsidRDefault="00413666" w:rsidP="00371A85">
      <w:pPr>
        <w:jc w:val="left"/>
        <w:rPr>
          <w:rFonts w:ascii="Arial" w:hAnsi="Arial" w:cs="Arial"/>
          <w:sz w:val="18"/>
          <w:szCs w:val="16"/>
        </w:rPr>
      </w:pPr>
    </w:p>
    <w:p w14:paraId="13B2DCA8" w14:textId="77777777" w:rsidR="00413666" w:rsidRDefault="00413666" w:rsidP="00371A85">
      <w:pPr>
        <w:jc w:val="left"/>
        <w:rPr>
          <w:rFonts w:ascii="Arial" w:hAnsi="Arial" w:cs="Arial"/>
          <w:sz w:val="18"/>
          <w:szCs w:val="16"/>
        </w:rPr>
      </w:pPr>
    </w:p>
    <w:p w14:paraId="4FC7C563" w14:textId="77777777" w:rsidR="00413666" w:rsidRDefault="00413666" w:rsidP="00371A85">
      <w:pPr>
        <w:jc w:val="left"/>
        <w:rPr>
          <w:rFonts w:ascii="Arial" w:hAnsi="Arial" w:cs="Arial"/>
          <w:sz w:val="18"/>
          <w:szCs w:val="16"/>
        </w:rPr>
      </w:pPr>
    </w:p>
    <w:p w14:paraId="3DEC552F" w14:textId="77777777" w:rsidR="00413666" w:rsidRDefault="00413666" w:rsidP="00371A85">
      <w:pPr>
        <w:jc w:val="left"/>
        <w:rPr>
          <w:rFonts w:ascii="Arial" w:hAnsi="Arial" w:cs="Arial"/>
          <w:sz w:val="18"/>
          <w:szCs w:val="16"/>
        </w:rPr>
      </w:pPr>
    </w:p>
    <w:p w14:paraId="2E8CCD55" w14:textId="77777777" w:rsidR="00413666" w:rsidRDefault="00413666" w:rsidP="00371A85">
      <w:pPr>
        <w:jc w:val="left"/>
        <w:rPr>
          <w:rFonts w:ascii="Arial" w:hAnsi="Arial" w:cs="Arial"/>
          <w:sz w:val="18"/>
          <w:szCs w:val="16"/>
        </w:rPr>
      </w:pPr>
    </w:p>
    <w:p w14:paraId="6AAE06E0" w14:textId="77777777" w:rsidR="00413666" w:rsidRDefault="00413666" w:rsidP="00371A85">
      <w:pPr>
        <w:jc w:val="left"/>
        <w:rPr>
          <w:rFonts w:ascii="Arial" w:hAnsi="Arial" w:cs="Arial"/>
          <w:sz w:val="18"/>
          <w:szCs w:val="16"/>
        </w:rPr>
      </w:pPr>
    </w:p>
    <w:p w14:paraId="314AA6C7" w14:textId="77777777" w:rsidR="00413666" w:rsidRDefault="00413666" w:rsidP="00371A85">
      <w:pPr>
        <w:jc w:val="left"/>
        <w:rPr>
          <w:rFonts w:ascii="Arial" w:hAnsi="Arial" w:cs="Arial"/>
          <w:sz w:val="18"/>
          <w:szCs w:val="16"/>
        </w:rPr>
      </w:pPr>
    </w:p>
    <w:p w14:paraId="17ECED3F" w14:textId="77777777" w:rsidR="00413666" w:rsidRDefault="00413666" w:rsidP="00371A85">
      <w:pPr>
        <w:jc w:val="left"/>
        <w:rPr>
          <w:rFonts w:ascii="Arial" w:hAnsi="Arial" w:cs="Arial"/>
          <w:sz w:val="18"/>
          <w:szCs w:val="16"/>
        </w:rPr>
      </w:pPr>
    </w:p>
    <w:p w14:paraId="77565244" w14:textId="77777777" w:rsidR="00413666" w:rsidRDefault="00413666" w:rsidP="00371A85">
      <w:pPr>
        <w:jc w:val="left"/>
        <w:rPr>
          <w:rFonts w:ascii="Arial" w:hAnsi="Arial" w:cs="Arial"/>
          <w:sz w:val="18"/>
          <w:szCs w:val="16"/>
        </w:rPr>
      </w:pPr>
    </w:p>
    <w:p w14:paraId="459EE660" w14:textId="77777777" w:rsidR="00413666" w:rsidRDefault="00413666" w:rsidP="00371A85">
      <w:pPr>
        <w:jc w:val="left"/>
        <w:rPr>
          <w:rFonts w:ascii="Arial" w:hAnsi="Arial" w:cs="Arial"/>
          <w:sz w:val="18"/>
          <w:szCs w:val="16"/>
        </w:rPr>
      </w:pPr>
    </w:p>
    <w:p w14:paraId="7BF8CB76" w14:textId="77777777" w:rsidR="00413666" w:rsidRDefault="00413666" w:rsidP="00371A85">
      <w:pPr>
        <w:jc w:val="left"/>
        <w:rPr>
          <w:rFonts w:ascii="Arial" w:hAnsi="Arial" w:cs="Arial"/>
          <w:sz w:val="18"/>
          <w:szCs w:val="16"/>
        </w:rPr>
      </w:pPr>
    </w:p>
    <w:p w14:paraId="12A25EDD" w14:textId="77777777" w:rsidR="00413666" w:rsidRDefault="00413666" w:rsidP="00371A85">
      <w:pPr>
        <w:jc w:val="left"/>
        <w:rPr>
          <w:rFonts w:ascii="Arial" w:hAnsi="Arial" w:cs="Arial"/>
          <w:sz w:val="18"/>
          <w:szCs w:val="16"/>
        </w:rPr>
      </w:pPr>
    </w:p>
    <w:p w14:paraId="7A1DF476" w14:textId="77777777" w:rsidR="00413666" w:rsidRDefault="00413666" w:rsidP="00371A85">
      <w:pPr>
        <w:jc w:val="left"/>
        <w:rPr>
          <w:rFonts w:ascii="Arial" w:hAnsi="Arial" w:cs="Arial"/>
          <w:sz w:val="18"/>
          <w:szCs w:val="16"/>
        </w:rPr>
      </w:pPr>
    </w:p>
    <w:p w14:paraId="6A384B33" w14:textId="77777777" w:rsidR="00413666" w:rsidRDefault="00413666" w:rsidP="00371A85">
      <w:pPr>
        <w:jc w:val="left"/>
        <w:rPr>
          <w:rFonts w:ascii="Arial" w:hAnsi="Arial" w:cs="Arial"/>
          <w:sz w:val="18"/>
          <w:szCs w:val="16"/>
        </w:rPr>
      </w:pPr>
    </w:p>
    <w:p w14:paraId="0CA9D8F2" w14:textId="77777777" w:rsidR="00413666" w:rsidRDefault="00413666" w:rsidP="00371A85">
      <w:pPr>
        <w:jc w:val="left"/>
        <w:rPr>
          <w:rFonts w:ascii="Arial" w:hAnsi="Arial" w:cs="Arial"/>
          <w:sz w:val="18"/>
          <w:szCs w:val="16"/>
        </w:rPr>
      </w:pPr>
    </w:p>
    <w:p w14:paraId="6AF4613A" w14:textId="77777777" w:rsidR="00413666" w:rsidRDefault="00413666" w:rsidP="00371A85">
      <w:pPr>
        <w:jc w:val="left"/>
        <w:rPr>
          <w:rFonts w:ascii="Arial" w:hAnsi="Arial" w:cs="Arial"/>
          <w:sz w:val="18"/>
          <w:szCs w:val="16"/>
        </w:rPr>
      </w:pPr>
    </w:p>
    <w:p w14:paraId="1543CCAB" w14:textId="77777777" w:rsidR="00413666" w:rsidRPr="00983F6F" w:rsidRDefault="00413666" w:rsidP="00371A85">
      <w:pPr>
        <w:jc w:val="left"/>
        <w:rPr>
          <w:rFonts w:ascii="Arial" w:hAnsi="Arial" w:cs="Arial"/>
          <w:sz w:val="18"/>
          <w:szCs w:val="16"/>
        </w:rPr>
      </w:pPr>
    </w:p>
    <w:p w14:paraId="7BDF30A6" w14:textId="77777777" w:rsidR="00371A85" w:rsidRPr="00C908D4" w:rsidRDefault="00371A85" w:rsidP="009A7694">
      <w:pPr>
        <w:pStyle w:val="ARHeading2"/>
        <w:rPr>
          <w:i/>
        </w:rPr>
      </w:pPr>
      <w:bookmarkStart w:id="47" w:name="_Toc458802735"/>
      <w:bookmarkStart w:id="48" w:name="_Toc524709386"/>
      <w:r w:rsidRPr="00C908D4">
        <w:lastRenderedPageBreak/>
        <w:t>2.6</w:t>
      </w:r>
      <w:r w:rsidRPr="00C908D4">
        <w:tab/>
        <w:t>Performance Management Framework</w:t>
      </w:r>
      <w:bookmarkEnd w:id="46"/>
      <w:bookmarkEnd w:id="47"/>
      <w:bookmarkEnd w:id="48"/>
    </w:p>
    <w:p w14:paraId="3C5A4605" w14:textId="77777777" w:rsidR="00371A85" w:rsidRDefault="00371A85" w:rsidP="00371A85">
      <w:pPr>
        <w:keepNext/>
        <w:jc w:val="left"/>
        <w:rPr>
          <w:rFonts w:ascii="Arial" w:hAnsi="Arial" w:cs="Arial"/>
          <w:b/>
          <w:color w:val="00649D"/>
          <w:sz w:val="28"/>
        </w:rPr>
      </w:pPr>
      <w:bookmarkStart w:id="49" w:name="_Toc390680574"/>
    </w:p>
    <w:p w14:paraId="6E3CEF14" w14:textId="77777777" w:rsidR="00371A85" w:rsidRPr="00C908D4" w:rsidRDefault="00371A85" w:rsidP="009A7694">
      <w:pPr>
        <w:pStyle w:val="ARHeading3"/>
      </w:pPr>
      <w:r w:rsidRPr="00C908D4">
        <w:t>2.6.1</w:t>
      </w:r>
      <w:r w:rsidRPr="00C908D4">
        <w:tab/>
        <w:t>Outcome Based Management Framework</w:t>
      </w:r>
      <w:bookmarkEnd w:id="49"/>
    </w:p>
    <w:p w14:paraId="32ACB420" w14:textId="77777777" w:rsidR="00371A85" w:rsidRDefault="00371A85" w:rsidP="00371A85">
      <w:pPr>
        <w:jc w:val="left"/>
        <w:rPr>
          <w:rFonts w:ascii="Arial" w:hAnsi="Arial" w:cs="Arial"/>
        </w:rPr>
      </w:pPr>
      <w:r w:rsidRPr="00983F6F">
        <w:rPr>
          <w:rFonts w:ascii="Arial" w:hAnsi="Arial" w:cs="Arial"/>
        </w:rPr>
        <w:t>The Insurance Commission contributes to the following Government goal:</w:t>
      </w:r>
    </w:p>
    <w:p w14:paraId="2686EBCB" w14:textId="77777777" w:rsidR="00371A85" w:rsidRDefault="00371A85" w:rsidP="00371A85">
      <w:pPr>
        <w:jc w:val="left"/>
        <w:rPr>
          <w:rFonts w:ascii="Arial" w:hAnsi="Arial" w:cs="Arial"/>
        </w:rPr>
      </w:pPr>
    </w:p>
    <w:p w14:paraId="21109F1E" w14:textId="77777777" w:rsidR="00371A85" w:rsidRPr="00DD442E" w:rsidRDefault="00371A85" w:rsidP="00371A85">
      <w:pPr>
        <w:jc w:val="left"/>
        <w:rPr>
          <w:rFonts w:ascii="Arial" w:hAnsi="Arial" w:cs="Arial"/>
          <w:b/>
        </w:rPr>
      </w:pPr>
      <w:r>
        <w:rPr>
          <w:rFonts w:ascii="Arial" w:hAnsi="Arial" w:cs="Arial"/>
          <w:b/>
        </w:rPr>
        <w:t>Sustainable Finances: Responsible financial management and better service delivery</w:t>
      </w:r>
    </w:p>
    <w:p w14:paraId="15B5099C" w14:textId="77777777" w:rsidR="00371A85" w:rsidRDefault="00371A85" w:rsidP="00371A85">
      <w:pPr>
        <w:jc w:val="left"/>
        <w:rPr>
          <w:rFonts w:ascii="Arial" w:hAnsi="Arial" w:cs="Arial"/>
        </w:rPr>
      </w:pPr>
    </w:p>
    <w:p w14:paraId="5D3E52A1" w14:textId="77777777" w:rsidR="00371A85" w:rsidRPr="00DD442E" w:rsidRDefault="00371A85" w:rsidP="00371A85">
      <w:pPr>
        <w:jc w:val="left"/>
        <w:rPr>
          <w:rFonts w:ascii="Arial" w:hAnsi="Arial" w:cs="Arial"/>
          <w:b/>
        </w:rPr>
      </w:pPr>
      <w:r w:rsidRPr="00DD442E">
        <w:rPr>
          <w:rFonts w:ascii="Arial" w:hAnsi="Arial" w:cs="Arial"/>
          <w:b/>
        </w:rPr>
        <w:t>Insurance Commission Services</w:t>
      </w:r>
    </w:p>
    <w:p w14:paraId="3AF4C3BA" w14:textId="77777777" w:rsidR="00371A85" w:rsidRPr="00DD442E" w:rsidRDefault="00371A85" w:rsidP="00371A85">
      <w:pPr>
        <w:jc w:val="left"/>
        <w:rPr>
          <w:rFonts w:ascii="Arial" w:hAnsi="Arial" w:cs="Arial"/>
        </w:rPr>
      </w:pPr>
    </w:p>
    <w:p w14:paraId="5B059D39" w14:textId="77777777" w:rsidR="00371A85" w:rsidRPr="00DD442E" w:rsidRDefault="00371A85" w:rsidP="00371A85">
      <w:pPr>
        <w:pStyle w:val="ListParagraph"/>
        <w:numPr>
          <w:ilvl w:val="0"/>
          <w:numId w:val="10"/>
        </w:numPr>
        <w:ind w:right="-57"/>
        <w:rPr>
          <w:rFonts w:ascii="Arial" w:hAnsi="Arial" w:cs="Arial"/>
        </w:rPr>
      </w:pPr>
      <w:r w:rsidRPr="00DD442E">
        <w:rPr>
          <w:rFonts w:ascii="Arial" w:hAnsi="Arial" w:cs="Arial"/>
        </w:rPr>
        <w:t>Provide efficient administration, underwriting and management of the statutory motor injury insurance scheme;</w:t>
      </w:r>
    </w:p>
    <w:p w14:paraId="016D67B5" w14:textId="77777777" w:rsidR="00371A85" w:rsidRPr="00983F6F" w:rsidRDefault="00371A85" w:rsidP="00371A85">
      <w:pPr>
        <w:ind w:left="360" w:right="-57"/>
        <w:jc w:val="left"/>
        <w:rPr>
          <w:rFonts w:ascii="Arial" w:hAnsi="Arial" w:cs="Arial"/>
        </w:rPr>
      </w:pPr>
    </w:p>
    <w:p w14:paraId="5D302F9E" w14:textId="77777777" w:rsidR="00371A85" w:rsidRPr="00DD442E" w:rsidRDefault="00371A85" w:rsidP="00371A85">
      <w:pPr>
        <w:pStyle w:val="ListParagraph"/>
        <w:numPr>
          <w:ilvl w:val="0"/>
          <w:numId w:val="10"/>
        </w:numPr>
        <w:ind w:right="-57"/>
        <w:rPr>
          <w:rFonts w:ascii="Arial" w:hAnsi="Arial" w:cs="Arial"/>
        </w:rPr>
      </w:pPr>
      <w:r w:rsidRPr="00DD442E">
        <w:rPr>
          <w:rFonts w:ascii="Arial" w:hAnsi="Arial" w:cs="Arial"/>
        </w:rPr>
        <w:t>provide timely, equitable and efficient motor injury insurance claims management service;</w:t>
      </w:r>
    </w:p>
    <w:p w14:paraId="1C9FA854" w14:textId="77777777" w:rsidR="00371A85" w:rsidRPr="00983F6F" w:rsidRDefault="00371A85" w:rsidP="00371A85">
      <w:pPr>
        <w:ind w:right="-57"/>
        <w:jc w:val="left"/>
        <w:rPr>
          <w:rFonts w:ascii="Arial" w:hAnsi="Arial" w:cs="Arial"/>
        </w:rPr>
      </w:pPr>
    </w:p>
    <w:p w14:paraId="34095AFC" w14:textId="77777777" w:rsidR="00371A85" w:rsidRPr="00DD442E" w:rsidRDefault="00371A85" w:rsidP="00371A85">
      <w:pPr>
        <w:pStyle w:val="ListParagraph"/>
        <w:numPr>
          <w:ilvl w:val="0"/>
          <w:numId w:val="10"/>
        </w:numPr>
        <w:ind w:right="-57"/>
        <w:rPr>
          <w:rFonts w:ascii="Arial" w:hAnsi="Arial" w:cs="Arial"/>
        </w:rPr>
      </w:pPr>
      <w:r w:rsidRPr="00DD442E">
        <w:rPr>
          <w:rFonts w:ascii="Arial" w:hAnsi="Arial" w:cs="Arial"/>
        </w:rPr>
        <w:t xml:space="preserve">provide agencies with high quality insurance advice and efficient administration, underwriting and management of self-insurance via the RiskCover Division; </w:t>
      </w:r>
    </w:p>
    <w:p w14:paraId="65F43F6D" w14:textId="77777777" w:rsidR="00371A85" w:rsidRPr="00983F6F" w:rsidRDefault="00371A85" w:rsidP="00371A85">
      <w:pPr>
        <w:ind w:left="360" w:right="-57"/>
        <w:jc w:val="left"/>
        <w:rPr>
          <w:rFonts w:ascii="Arial" w:hAnsi="Arial" w:cs="Arial"/>
        </w:rPr>
      </w:pPr>
    </w:p>
    <w:p w14:paraId="6632162E" w14:textId="77777777" w:rsidR="00371A85" w:rsidRDefault="00371A85" w:rsidP="00371A85">
      <w:pPr>
        <w:pStyle w:val="ListParagraph"/>
        <w:numPr>
          <w:ilvl w:val="0"/>
          <w:numId w:val="10"/>
        </w:numPr>
        <w:ind w:right="-57"/>
        <w:rPr>
          <w:rFonts w:ascii="Arial" w:hAnsi="Arial" w:cs="Arial"/>
        </w:rPr>
      </w:pPr>
      <w:r w:rsidRPr="00DD442E">
        <w:rPr>
          <w:rFonts w:ascii="Arial" w:hAnsi="Arial" w:cs="Arial"/>
        </w:rPr>
        <w:t>provide timely, equitable and efficient RiskCover claims management services</w:t>
      </w:r>
      <w:r>
        <w:rPr>
          <w:rFonts w:ascii="Arial" w:hAnsi="Arial" w:cs="Arial"/>
        </w:rPr>
        <w:t>; and</w:t>
      </w:r>
    </w:p>
    <w:p w14:paraId="2A89DDE5" w14:textId="77777777" w:rsidR="00371A85" w:rsidRPr="00A9743D" w:rsidRDefault="00371A85" w:rsidP="00371A85">
      <w:pPr>
        <w:pStyle w:val="ListParagraph"/>
        <w:contextualSpacing/>
        <w:rPr>
          <w:rFonts w:ascii="Arial" w:hAnsi="Arial" w:cs="Arial"/>
        </w:rPr>
      </w:pPr>
    </w:p>
    <w:p w14:paraId="06126559" w14:textId="77777777" w:rsidR="00371A85" w:rsidRDefault="00371A85" w:rsidP="00371A85">
      <w:pPr>
        <w:pStyle w:val="ListParagraph"/>
        <w:numPr>
          <w:ilvl w:val="0"/>
          <w:numId w:val="10"/>
        </w:numPr>
        <w:autoSpaceDE w:val="0"/>
        <w:autoSpaceDN w:val="0"/>
        <w:adjustRightInd w:val="0"/>
        <w:rPr>
          <w:rFonts w:ascii="Arial" w:hAnsi="Arial" w:cs="Arial"/>
        </w:rPr>
      </w:pPr>
      <w:proofErr w:type="gramStart"/>
      <w:r>
        <w:rPr>
          <w:rFonts w:ascii="Arial" w:hAnsi="Arial" w:cs="Arial"/>
        </w:rPr>
        <w:t>p</w:t>
      </w:r>
      <w:r w:rsidRPr="004A5607">
        <w:rPr>
          <w:rFonts w:ascii="Arial" w:hAnsi="Arial" w:cs="Arial"/>
        </w:rPr>
        <w:t>erform</w:t>
      </w:r>
      <w:proofErr w:type="gramEnd"/>
      <w:r>
        <w:rPr>
          <w:rFonts w:ascii="Arial" w:hAnsi="Arial" w:cs="Arial"/>
        </w:rPr>
        <w:t xml:space="preserve"> f</w:t>
      </w:r>
      <w:r w:rsidRPr="004A5607">
        <w:rPr>
          <w:rFonts w:ascii="Arial" w:hAnsi="Arial" w:cs="Arial"/>
        </w:rPr>
        <w:t xml:space="preserve">und management and investment functions to manage monies and other property to provide assets to meet insurance liabilities. </w:t>
      </w:r>
      <w:r w:rsidRPr="004A5607">
        <w:rPr>
          <w:rFonts w:ascii="Arial" w:hAnsi="Arial" w:cs="Arial"/>
        </w:rPr>
        <w:tab/>
      </w:r>
    </w:p>
    <w:p w14:paraId="0AC6C1EE" w14:textId="77777777" w:rsidR="00371A85" w:rsidRPr="009A7694" w:rsidRDefault="00371A85" w:rsidP="009A7694">
      <w:pPr>
        <w:rPr>
          <w:rFonts w:ascii="Arial" w:hAnsi="Arial" w:cs="Arial"/>
        </w:rPr>
      </w:pPr>
    </w:p>
    <w:p w14:paraId="060A7C97" w14:textId="77777777" w:rsidR="00371A85" w:rsidRPr="00DD442E" w:rsidRDefault="00371A85" w:rsidP="00371A85">
      <w:pPr>
        <w:rPr>
          <w:rFonts w:ascii="Arial" w:hAnsi="Arial" w:cs="Arial"/>
          <w:b/>
        </w:rPr>
      </w:pPr>
      <w:r w:rsidRPr="00DD442E">
        <w:rPr>
          <w:rFonts w:ascii="Arial" w:hAnsi="Arial" w:cs="Arial"/>
          <w:b/>
        </w:rPr>
        <w:t>Insurance Commission Outcomes</w:t>
      </w:r>
    </w:p>
    <w:p w14:paraId="5B5A5803" w14:textId="77777777" w:rsidR="00371A85" w:rsidRPr="00983F6F" w:rsidRDefault="00371A85" w:rsidP="00371A85">
      <w:pPr>
        <w:autoSpaceDE w:val="0"/>
        <w:autoSpaceDN w:val="0"/>
        <w:adjustRightInd w:val="0"/>
        <w:jc w:val="left"/>
        <w:rPr>
          <w:rFonts w:ascii="Arial" w:hAnsi="Arial" w:cs="Arial"/>
          <w:b/>
          <w:bCs/>
          <w:smallCaps/>
          <w:sz w:val="26"/>
          <w:lang w:val="en-US"/>
        </w:rPr>
      </w:pPr>
      <w:r w:rsidRPr="00983F6F">
        <w:rPr>
          <w:rFonts w:ascii="Arial" w:hAnsi="Arial" w:cs="Arial"/>
          <w:b/>
          <w:bCs/>
          <w:smallCaps/>
          <w:sz w:val="26"/>
          <w:lang w:val="en-US"/>
        </w:rPr>
        <w:tab/>
      </w:r>
      <w:r w:rsidRPr="00983F6F">
        <w:rPr>
          <w:rFonts w:ascii="Arial" w:hAnsi="Arial" w:cs="Arial"/>
          <w:b/>
          <w:bCs/>
          <w:smallCaps/>
          <w:sz w:val="26"/>
          <w:lang w:val="en-US"/>
        </w:rPr>
        <w:tab/>
      </w:r>
      <w:r w:rsidRPr="00983F6F">
        <w:rPr>
          <w:rFonts w:ascii="Arial" w:hAnsi="Arial" w:cs="Arial"/>
          <w:b/>
          <w:bCs/>
          <w:smallCaps/>
          <w:sz w:val="26"/>
          <w:lang w:val="en-US"/>
        </w:rPr>
        <w:tab/>
      </w:r>
    </w:p>
    <w:p w14:paraId="33EF5CE8" w14:textId="77777777" w:rsidR="00371A85" w:rsidRPr="00DD442E" w:rsidRDefault="00371A85" w:rsidP="00371A85">
      <w:pPr>
        <w:pStyle w:val="ListParagraph"/>
        <w:numPr>
          <w:ilvl w:val="0"/>
          <w:numId w:val="11"/>
        </w:numPr>
        <w:ind w:right="-57"/>
        <w:rPr>
          <w:rFonts w:ascii="Arial" w:hAnsi="Arial" w:cs="Arial"/>
        </w:rPr>
      </w:pPr>
      <w:r>
        <w:rPr>
          <w:rFonts w:ascii="Arial" w:hAnsi="Arial" w:cs="Arial"/>
        </w:rPr>
        <w:t>Fully-</w:t>
      </w:r>
      <w:r w:rsidRPr="00DD442E">
        <w:rPr>
          <w:rFonts w:ascii="Arial" w:hAnsi="Arial" w:cs="Arial"/>
        </w:rPr>
        <w:t xml:space="preserve">funded Third Party Insurance Fund and Motor Vehicle (Catastrophic Injuries) Fund; </w:t>
      </w:r>
    </w:p>
    <w:p w14:paraId="00CC06C1" w14:textId="77777777" w:rsidR="00371A85" w:rsidRPr="00983F6F" w:rsidRDefault="00371A85" w:rsidP="00371A85">
      <w:pPr>
        <w:ind w:left="360" w:right="-57"/>
        <w:jc w:val="left"/>
        <w:rPr>
          <w:rFonts w:ascii="Arial" w:hAnsi="Arial" w:cs="Arial"/>
        </w:rPr>
      </w:pPr>
    </w:p>
    <w:p w14:paraId="2E2BBEC1" w14:textId="77777777" w:rsidR="00371A85" w:rsidRPr="00DD442E" w:rsidRDefault="00371A85" w:rsidP="00371A85">
      <w:pPr>
        <w:pStyle w:val="ListParagraph"/>
        <w:numPr>
          <w:ilvl w:val="0"/>
          <w:numId w:val="11"/>
        </w:numPr>
        <w:ind w:right="-57"/>
        <w:rPr>
          <w:rFonts w:ascii="Arial" w:hAnsi="Arial" w:cs="Arial"/>
        </w:rPr>
      </w:pPr>
      <w:r w:rsidRPr="00DD442E">
        <w:rPr>
          <w:rFonts w:ascii="Arial" w:hAnsi="Arial" w:cs="Arial"/>
        </w:rPr>
        <w:t>affordable premiums for Western Australian vehicle owners;</w:t>
      </w:r>
    </w:p>
    <w:p w14:paraId="5F41C522" w14:textId="77777777" w:rsidR="00371A85" w:rsidRPr="00983F6F" w:rsidRDefault="00371A85" w:rsidP="00371A85">
      <w:pPr>
        <w:ind w:left="360" w:right="-57"/>
        <w:jc w:val="left"/>
        <w:rPr>
          <w:rFonts w:ascii="Arial" w:hAnsi="Arial" w:cs="Arial"/>
        </w:rPr>
      </w:pPr>
    </w:p>
    <w:p w14:paraId="79349894" w14:textId="77777777" w:rsidR="00371A85" w:rsidRPr="00DD442E" w:rsidRDefault="00371A85" w:rsidP="00371A85">
      <w:pPr>
        <w:pStyle w:val="ListParagraph"/>
        <w:numPr>
          <w:ilvl w:val="0"/>
          <w:numId w:val="11"/>
        </w:numPr>
        <w:ind w:right="-57"/>
        <w:rPr>
          <w:rFonts w:ascii="Arial" w:hAnsi="Arial" w:cs="Arial"/>
        </w:rPr>
      </w:pPr>
      <w:r w:rsidRPr="00DD442E">
        <w:rPr>
          <w:rFonts w:ascii="Arial" w:hAnsi="Arial" w:cs="Arial"/>
        </w:rPr>
        <w:t>a motor injury insurance claims system that treats claimants fairly and delivers equitable compensation;</w:t>
      </w:r>
    </w:p>
    <w:p w14:paraId="71CE6B96" w14:textId="77777777" w:rsidR="00371A85" w:rsidRPr="00983F6F" w:rsidRDefault="00371A85" w:rsidP="00371A85">
      <w:pPr>
        <w:pStyle w:val="ListParagraph"/>
        <w:ind w:left="360"/>
        <w:rPr>
          <w:rFonts w:ascii="Arial" w:hAnsi="Arial" w:cs="Arial"/>
        </w:rPr>
      </w:pPr>
    </w:p>
    <w:p w14:paraId="17024338" w14:textId="77777777" w:rsidR="00371A85" w:rsidRPr="00DD442E" w:rsidRDefault="00371A85" w:rsidP="00371A85">
      <w:pPr>
        <w:pStyle w:val="ListParagraph"/>
        <w:numPr>
          <w:ilvl w:val="0"/>
          <w:numId w:val="11"/>
        </w:numPr>
        <w:ind w:right="-57"/>
        <w:rPr>
          <w:rFonts w:ascii="Arial" w:hAnsi="Arial" w:cs="Arial"/>
        </w:rPr>
      </w:pPr>
      <w:r>
        <w:rPr>
          <w:rFonts w:ascii="Arial" w:hAnsi="Arial" w:cs="Arial"/>
        </w:rPr>
        <w:t>fully-</w:t>
      </w:r>
      <w:r w:rsidRPr="00DD442E">
        <w:rPr>
          <w:rFonts w:ascii="Arial" w:hAnsi="Arial" w:cs="Arial"/>
        </w:rPr>
        <w:t>funded RiskCover Fund;</w:t>
      </w:r>
    </w:p>
    <w:p w14:paraId="4CD97A35" w14:textId="77777777" w:rsidR="00371A85" w:rsidRPr="00983F6F" w:rsidRDefault="00371A85" w:rsidP="00371A85">
      <w:pPr>
        <w:ind w:left="360" w:right="-57"/>
        <w:jc w:val="left"/>
        <w:rPr>
          <w:rFonts w:ascii="Arial" w:hAnsi="Arial" w:cs="Arial"/>
        </w:rPr>
      </w:pPr>
    </w:p>
    <w:p w14:paraId="4E322C4E" w14:textId="77777777" w:rsidR="00371A85" w:rsidRPr="00DD442E" w:rsidRDefault="00371A85" w:rsidP="00371A85">
      <w:pPr>
        <w:pStyle w:val="ListParagraph"/>
        <w:numPr>
          <w:ilvl w:val="0"/>
          <w:numId w:val="11"/>
        </w:numPr>
        <w:ind w:right="-57"/>
        <w:rPr>
          <w:rFonts w:ascii="Arial" w:hAnsi="Arial" w:cs="Arial"/>
        </w:rPr>
      </w:pPr>
      <w:r w:rsidRPr="00DD442E">
        <w:rPr>
          <w:rFonts w:ascii="Arial" w:hAnsi="Arial" w:cs="Arial"/>
        </w:rPr>
        <w:t xml:space="preserve">sustainable fund contributions (premiums) to RiskCover agencies; </w:t>
      </w:r>
    </w:p>
    <w:p w14:paraId="75DA7922" w14:textId="77777777" w:rsidR="00371A85" w:rsidRPr="00983F6F" w:rsidRDefault="00371A85" w:rsidP="00371A85">
      <w:pPr>
        <w:ind w:left="360" w:right="-57"/>
        <w:jc w:val="left"/>
        <w:rPr>
          <w:rFonts w:ascii="Arial" w:hAnsi="Arial" w:cs="Arial"/>
        </w:rPr>
      </w:pPr>
    </w:p>
    <w:p w14:paraId="59661485" w14:textId="77777777" w:rsidR="00371A85" w:rsidRDefault="00371A85" w:rsidP="00371A85">
      <w:pPr>
        <w:pStyle w:val="ListParagraph"/>
        <w:numPr>
          <w:ilvl w:val="0"/>
          <w:numId w:val="11"/>
        </w:numPr>
        <w:ind w:right="-57"/>
        <w:rPr>
          <w:rFonts w:ascii="Arial" w:hAnsi="Arial" w:cs="Arial"/>
        </w:rPr>
      </w:pPr>
      <w:r w:rsidRPr="00DD442E">
        <w:rPr>
          <w:rFonts w:ascii="Arial" w:hAnsi="Arial" w:cs="Arial"/>
        </w:rPr>
        <w:t>a RiskCover claims system that treats agencies and claimants fairly and delivers equitable compensation</w:t>
      </w:r>
      <w:r>
        <w:rPr>
          <w:rFonts w:ascii="Arial" w:hAnsi="Arial" w:cs="Arial"/>
        </w:rPr>
        <w:t>; and</w:t>
      </w:r>
    </w:p>
    <w:p w14:paraId="3C2E263B" w14:textId="77777777" w:rsidR="00371A85" w:rsidRPr="00A9743D" w:rsidRDefault="00371A85" w:rsidP="00371A85">
      <w:pPr>
        <w:pStyle w:val="ListParagraph"/>
        <w:contextualSpacing/>
        <w:rPr>
          <w:rFonts w:ascii="Arial" w:hAnsi="Arial" w:cs="Arial"/>
        </w:rPr>
      </w:pPr>
    </w:p>
    <w:p w14:paraId="517D7F32" w14:textId="77777777" w:rsidR="00371A85" w:rsidRDefault="00371A85" w:rsidP="00371A85">
      <w:pPr>
        <w:pStyle w:val="ListParagraph"/>
        <w:numPr>
          <w:ilvl w:val="0"/>
          <w:numId w:val="12"/>
        </w:numPr>
        <w:ind w:right="-57"/>
        <w:rPr>
          <w:rFonts w:ascii="Arial" w:hAnsi="Arial" w:cs="Arial"/>
        </w:rPr>
      </w:pPr>
      <w:proofErr w:type="gramStart"/>
      <w:r>
        <w:rPr>
          <w:rFonts w:ascii="Arial" w:hAnsi="Arial" w:cs="Arial"/>
        </w:rPr>
        <w:t>s</w:t>
      </w:r>
      <w:r w:rsidRPr="004A5607">
        <w:rPr>
          <w:rFonts w:ascii="Arial" w:hAnsi="Arial" w:cs="Arial"/>
        </w:rPr>
        <w:t>ufficient</w:t>
      </w:r>
      <w:proofErr w:type="gramEnd"/>
      <w:r w:rsidRPr="004A5607">
        <w:rPr>
          <w:rFonts w:ascii="Arial" w:hAnsi="Arial" w:cs="Arial"/>
        </w:rPr>
        <w:t xml:space="preserve"> financial resources to be able to meet commitments. </w:t>
      </w:r>
    </w:p>
    <w:p w14:paraId="5685923B" w14:textId="77777777" w:rsidR="00371A85" w:rsidRDefault="00371A85" w:rsidP="00371A85">
      <w:pPr>
        <w:ind w:right="-57"/>
        <w:rPr>
          <w:rFonts w:ascii="Arial" w:hAnsi="Arial" w:cs="Arial"/>
        </w:rPr>
      </w:pPr>
    </w:p>
    <w:p w14:paraId="3C42D971" w14:textId="77777777" w:rsidR="00413666" w:rsidRDefault="00413666" w:rsidP="00371A85">
      <w:pPr>
        <w:ind w:right="-57"/>
        <w:rPr>
          <w:rFonts w:ascii="Arial" w:hAnsi="Arial" w:cs="Arial"/>
        </w:rPr>
      </w:pPr>
    </w:p>
    <w:p w14:paraId="6B9CA920" w14:textId="77777777" w:rsidR="00413666" w:rsidRDefault="00413666" w:rsidP="00371A85">
      <w:pPr>
        <w:ind w:right="-57"/>
        <w:rPr>
          <w:rFonts w:ascii="Arial" w:hAnsi="Arial" w:cs="Arial"/>
        </w:rPr>
      </w:pPr>
    </w:p>
    <w:p w14:paraId="74113219" w14:textId="77777777" w:rsidR="00413666" w:rsidRPr="004A5607" w:rsidRDefault="00413666" w:rsidP="00371A85">
      <w:pPr>
        <w:ind w:right="-57"/>
        <w:rPr>
          <w:rFonts w:ascii="Arial" w:hAnsi="Arial" w:cs="Arial"/>
        </w:rPr>
      </w:pPr>
    </w:p>
    <w:p w14:paraId="5D47BEF1" w14:textId="77777777" w:rsidR="00371A85" w:rsidRPr="004A5607" w:rsidRDefault="00371A85" w:rsidP="009A7694">
      <w:pPr>
        <w:pStyle w:val="ARHeading3"/>
      </w:pPr>
      <w:bookmarkStart w:id="50" w:name="_Toc390680576"/>
      <w:r w:rsidRPr="004A5607">
        <w:lastRenderedPageBreak/>
        <w:t>2.6.2</w:t>
      </w:r>
      <w:r w:rsidRPr="004A5607">
        <w:tab/>
        <w:t>Shared Responsibilities with other Public Authorities</w:t>
      </w:r>
      <w:bookmarkEnd w:id="50"/>
    </w:p>
    <w:p w14:paraId="247517C4" w14:textId="77777777" w:rsidR="00371A85" w:rsidRPr="00056F20" w:rsidRDefault="00371A85" w:rsidP="009A7694">
      <w:pPr>
        <w:pStyle w:val="ARHeading3"/>
      </w:pPr>
      <w:r w:rsidRPr="00056F20">
        <w:t>Department of Transport</w:t>
      </w:r>
    </w:p>
    <w:p w14:paraId="3B1D897A" w14:textId="77777777" w:rsidR="00371A85" w:rsidRPr="00983F6F" w:rsidRDefault="00371A85" w:rsidP="00371A85">
      <w:pPr>
        <w:jc w:val="left"/>
        <w:rPr>
          <w:rFonts w:ascii="Arial" w:hAnsi="Arial" w:cs="Arial"/>
        </w:rPr>
      </w:pPr>
      <w:r w:rsidRPr="00983F6F">
        <w:rPr>
          <w:rFonts w:ascii="Arial" w:hAnsi="Arial" w:cs="Arial"/>
        </w:rPr>
        <w:t xml:space="preserve">The Department of Transport (DoT) and its agents issue motor injury insurance policies and collect insurance premiums on behalf of the Insurance Commission. In exchange for this </w:t>
      </w:r>
      <w:r w:rsidRPr="00A31840">
        <w:rPr>
          <w:rFonts w:ascii="Arial" w:hAnsi="Arial" w:cs="Arial"/>
        </w:rPr>
        <w:t>service, the Insurance Commission pays a fee to DoT per transaction. For 2018, this fee was $4.09 per transaction. The total amount paid to DoT in 2018 was $24.4 million.</w:t>
      </w:r>
    </w:p>
    <w:p w14:paraId="772FEDE6" w14:textId="77777777" w:rsidR="00371A85" w:rsidRPr="00983F6F" w:rsidRDefault="00371A85" w:rsidP="00371A85">
      <w:pPr>
        <w:jc w:val="left"/>
        <w:rPr>
          <w:rFonts w:ascii="Arial" w:hAnsi="Arial" w:cs="Arial"/>
        </w:rPr>
      </w:pPr>
    </w:p>
    <w:p w14:paraId="04C695EE" w14:textId="77777777" w:rsidR="00371A85" w:rsidRPr="00983F6F" w:rsidRDefault="00371A85" w:rsidP="00371A85">
      <w:pPr>
        <w:jc w:val="left"/>
        <w:rPr>
          <w:rFonts w:ascii="Arial" w:hAnsi="Arial" w:cs="Arial"/>
        </w:rPr>
      </w:pPr>
      <w:r w:rsidRPr="00983F6F">
        <w:rPr>
          <w:rFonts w:ascii="Arial" w:hAnsi="Arial" w:cs="Arial"/>
        </w:rPr>
        <w:t xml:space="preserve">The partnership between the Insurance Commission and DoT provides WA motorists a ‘one-step’ process to register their vehicle and purchase motor injury insurance in an efficient and cost-effective manner. </w:t>
      </w:r>
    </w:p>
    <w:p w14:paraId="51728B39" w14:textId="77777777" w:rsidR="00371A85" w:rsidRDefault="00371A85" w:rsidP="00371A85">
      <w:pPr>
        <w:autoSpaceDE w:val="0"/>
        <w:autoSpaceDN w:val="0"/>
        <w:adjustRightInd w:val="0"/>
        <w:jc w:val="left"/>
        <w:rPr>
          <w:rFonts w:ascii="Arial" w:hAnsi="Arial" w:cs="Arial"/>
          <w:b/>
          <w:sz w:val="28"/>
          <w:szCs w:val="28"/>
          <w:lang w:val="en-US"/>
        </w:rPr>
      </w:pPr>
    </w:p>
    <w:p w14:paraId="3253F9A7" w14:textId="77777777" w:rsidR="00371A85" w:rsidRPr="004A5607" w:rsidRDefault="00371A85" w:rsidP="009A7694">
      <w:pPr>
        <w:pStyle w:val="ARHeading3"/>
        <w:rPr>
          <w:lang w:val="en-US"/>
        </w:rPr>
      </w:pPr>
      <w:r w:rsidRPr="004A5607">
        <w:rPr>
          <w:lang w:val="en-US"/>
        </w:rPr>
        <w:t>Indian Ocean Territories</w:t>
      </w:r>
    </w:p>
    <w:p w14:paraId="5A9D3D61" w14:textId="77777777" w:rsidR="00371A85" w:rsidRDefault="00371A85" w:rsidP="00371A85">
      <w:pPr>
        <w:autoSpaceDE w:val="0"/>
        <w:autoSpaceDN w:val="0"/>
        <w:adjustRightInd w:val="0"/>
        <w:jc w:val="left"/>
        <w:rPr>
          <w:rFonts w:ascii="Arial" w:hAnsi="Arial" w:cs="Arial"/>
          <w:lang w:val="en-US"/>
        </w:rPr>
      </w:pPr>
      <w:r w:rsidRPr="00983F6F">
        <w:rPr>
          <w:rFonts w:ascii="Arial" w:hAnsi="Arial" w:cs="Arial"/>
        </w:rPr>
        <w:t xml:space="preserve">The Insurance Commission, via a Service Delivery Arrangement with the Commonwealth Government, </w:t>
      </w:r>
      <w:r w:rsidRPr="00983F6F">
        <w:rPr>
          <w:rFonts w:ascii="Arial" w:hAnsi="Arial" w:cs="Arial"/>
          <w:szCs w:val="24"/>
        </w:rPr>
        <w:t xml:space="preserve">manages the </w:t>
      </w:r>
      <w:r w:rsidRPr="00983F6F">
        <w:rPr>
          <w:rFonts w:ascii="Arial" w:hAnsi="Arial" w:cs="Arial"/>
        </w:rPr>
        <w:t xml:space="preserve">Indian Ocean Territories Motor Injury Insurance </w:t>
      </w:r>
      <w:r w:rsidRPr="00983F6F">
        <w:rPr>
          <w:rFonts w:ascii="Arial" w:hAnsi="Arial" w:cs="Arial"/>
          <w:szCs w:val="24"/>
        </w:rPr>
        <w:t xml:space="preserve">Scheme on a fee-for-service basis.  </w:t>
      </w:r>
    </w:p>
    <w:p w14:paraId="5D48978A" w14:textId="77777777" w:rsidR="00371A85" w:rsidRDefault="00371A85" w:rsidP="00371A85">
      <w:pPr>
        <w:autoSpaceDE w:val="0"/>
        <w:autoSpaceDN w:val="0"/>
        <w:adjustRightInd w:val="0"/>
        <w:jc w:val="left"/>
        <w:rPr>
          <w:rFonts w:ascii="Arial" w:hAnsi="Arial" w:cs="Arial"/>
          <w:lang w:val="en-US"/>
        </w:rPr>
      </w:pPr>
    </w:p>
    <w:p w14:paraId="44EA7927" w14:textId="77777777" w:rsidR="00371A85" w:rsidRPr="004A5607" w:rsidRDefault="00371A85" w:rsidP="009A7694">
      <w:pPr>
        <w:pStyle w:val="ARHeading3"/>
        <w:rPr>
          <w:lang w:val="en-US"/>
        </w:rPr>
      </w:pPr>
      <w:r w:rsidRPr="004A5607">
        <w:rPr>
          <w:lang w:val="en-US"/>
        </w:rPr>
        <w:t>WorkCover</w:t>
      </w:r>
      <w:r>
        <w:rPr>
          <w:lang w:val="en-US"/>
        </w:rPr>
        <w:t xml:space="preserve"> WA</w:t>
      </w:r>
    </w:p>
    <w:p w14:paraId="723695D8" w14:textId="77777777" w:rsidR="00371A85" w:rsidRPr="004A5607" w:rsidRDefault="00371A85" w:rsidP="00371A85">
      <w:pPr>
        <w:autoSpaceDE w:val="0"/>
        <w:autoSpaceDN w:val="0"/>
        <w:adjustRightInd w:val="0"/>
        <w:jc w:val="left"/>
        <w:rPr>
          <w:rFonts w:ascii="Arial" w:hAnsi="Arial" w:cs="Arial"/>
          <w:lang w:val="en-US"/>
        </w:rPr>
      </w:pPr>
      <w:r w:rsidRPr="00983F6F">
        <w:rPr>
          <w:rFonts w:ascii="Arial" w:hAnsi="Arial" w:cs="Arial"/>
        </w:rPr>
        <w:t xml:space="preserve">The Insurance Commission manages claims from the </w:t>
      </w:r>
      <w:r w:rsidRPr="00983F6F">
        <w:rPr>
          <w:rFonts w:ascii="Arial" w:hAnsi="Arial" w:cs="Arial"/>
          <w:i/>
        </w:rPr>
        <w:t>Employers’ Indemnity Supplementation Fund Act 1980</w:t>
      </w:r>
      <w:r w:rsidRPr="00983F6F">
        <w:rPr>
          <w:rFonts w:ascii="Arial" w:hAnsi="Arial" w:cs="Arial"/>
        </w:rPr>
        <w:t xml:space="preserve">, </w:t>
      </w:r>
      <w:r w:rsidRPr="00983F6F">
        <w:rPr>
          <w:rFonts w:ascii="Arial" w:hAnsi="Arial" w:cs="Arial"/>
          <w:i/>
        </w:rPr>
        <w:t>Workers’ Compensation and Injury Management (Acts of Terrorism) Act 2001</w:t>
      </w:r>
      <w:r w:rsidRPr="00983F6F">
        <w:rPr>
          <w:rFonts w:ascii="Arial" w:hAnsi="Arial" w:cs="Arial"/>
        </w:rPr>
        <w:t xml:space="preserve"> and </w:t>
      </w:r>
      <w:r w:rsidRPr="00983F6F">
        <w:rPr>
          <w:rFonts w:ascii="Arial" w:hAnsi="Arial" w:cs="Arial"/>
          <w:i/>
        </w:rPr>
        <w:t>Waterfront Workers’ (Compensation for Asbestos Related Diseases) Act 1986</w:t>
      </w:r>
      <w:r w:rsidRPr="00983F6F">
        <w:rPr>
          <w:rFonts w:ascii="Arial" w:hAnsi="Arial" w:cs="Arial"/>
        </w:rPr>
        <w:t xml:space="preserve">. </w:t>
      </w:r>
    </w:p>
    <w:p w14:paraId="331F8704" w14:textId="77777777" w:rsidR="00371A85" w:rsidRPr="00983F6F" w:rsidRDefault="00371A85" w:rsidP="00371A85">
      <w:pPr>
        <w:jc w:val="left"/>
        <w:rPr>
          <w:rFonts w:ascii="Arial" w:hAnsi="Arial" w:cs="Arial"/>
        </w:rPr>
      </w:pPr>
    </w:p>
    <w:p w14:paraId="5B8B6E8E" w14:textId="77777777" w:rsidR="00371A85" w:rsidRPr="00983F6F" w:rsidRDefault="00371A85" w:rsidP="00371A85">
      <w:pPr>
        <w:jc w:val="left"/>
        <w:rPr>
          <w:rFonts w:ascii="Arial" w:hAnsi="Arial" w:cs="Arial"/>
        </w:rPr>
      </w:pPr>
      <w:r w:rsidRPr="00983F6F">
        <w:rPr>
          <w:rFonts w:ascii="Arial" w:hAnsi="Arial" w:cs="Arial"/>
        </w:rPr>
        <w:t>Claims management expenses and claims payments made, which predominantly stem from the collapse of the HIH Group of Companies in 2001, ar</w:t>
      </w:r>
      <w:r>
        <w:rPr>
          <w:rFonts w:ascii="Arial" w:hAnsi="Arial" w:cs="Arial"/>
        </w:rPr>
        <w:t>e reimbursed by WorkCover under</w:t>
      </w:r>
      <w:r w:rsidRPr="00983F6F">
        <w:rPr>
          <w:rFonts w:ascii="Arial" w:hAnsi="Arial" w:cs="Arial"/>
        </w:rPr>
        <w:t xml:space="preserve"> the </w:t>
      </w:r>
      <w:r w:rsidRPr="00983F6F">
        <w:rPr>
          <w:rFonts w:ascii="Arial" w:hAnsi="Arial" w:cs="Arial"/>
          <w:i/>
        </w:rPr>
        <w:t>Employers’ Indemnity Supplementation Fund Act 1980</w:t>
      </w:r>
      <w:r w:rsidRPr="00983F6F">
        <w:rPr>
          <w:rFonts w:ascii="Arial" w:hAnsi="Arial" w:cs="Arial"/>
        </w:rPr>
        <w:t xml:space="preserve">. </w:t>
      </w:r>
    </w:p>
    <w:p w14:paraId="0F1D3014" w14:textId="77777777" w:rsidR="00371A85" w:rsidRPr="00983F6F" w:rsidRDefault="00371A85" w:rsidP="00371A85">
      <w:pPr>
        <w:jc w:val="left"/>
        <w:rPr>
          <w:rFonts w:ascii="Arial" w:hAnsi="Arial" w:cs="Arial"/>
        </w:rPr>
      </w:pPr>
    </w:p>
    <w:p w14:paraId="6DCA37B8" w14:textId="77777777" w:rsidR="00371A85" w:rsidRDefault="00371A85" w:rsidP="00371A85">
      <w:pPr>
        <w:jc w:val="left"/>
        <w:rPr>
          <w:rFonts w:ascii="Arial" w:hAnsi="Arial" w:cs="Arial"/>
        </w:rPr>
      </w:pPr>
      <w:r w:rsidRPr="00983F6F">
        <w:rPr>
          <w:rFonts w:ascii="Arial" w:hAnsi="Arial" w:cs="Arial"/>
        </w:rPr>
        <w:t xml:space="preserve">On behalf of WorkCover WA, RiskCover also manages claims lodged against WorkCover WA’s General Fund.  </w:t>
      </w:r>
    </w:p>
    <w:p w14:paraId="01C8807D" w14:textId="77777777" w:rsidR="00371A85" w:rsidRDefault="00371A85" w:rsidP="00371A85">
      <w:pPr>
        <w:jc w:val="left"/>
        <w:rPr>
          <w:rFonts w:ascii="Arial" w:hAnsi="Arial" w:cs="Arial"/>
        </w:rPr>
      </w:pPr>
    </w:p>
    <w:p w14:paraId="03F5EB98" w14:textId="77777777" w:rsidR="00371A85" w:rsidRPr="004A5607" w:rsidRDefault="00371A85" w:rsidP="009A7694">
      <w:pPr>
        <w:pStyle w:val="ARHeading3"/>
      </w:pPr>
      <w:r w:rsidRPr="004A5607">
        <w:t>Western Australia Police</w:t>
      </w:r>
      <w:r>
        <w:t xml:space="preserve"> Force</w:t>
      </w:r>
    </w:p>
    <w:p w14:paraId="0C5BD1D5" w14:textId="77777777" w:rsidR="00371A85" w:rsidRPr="004A5607" w:rsidRDefault="00371A85" w:rsidP="00371A85">
      <w:pPr>
        <w:jc w:val="left"/>
        <w:rPr>
          <w:rFonts w:ascii="Arial" w:hAnsi="Arial" w:cs="Arial"/>
        </w:rPr>
      </w:pPr>
      <w:r w:rsidRPr="00983F6F">
        <w:rPr>
          <w:rFonts w:ascii="Arial" w:hAnsi="Arial" w:cs="Arial"/>
          <w:b/>
        </w:rPr>
        <w:t xml:space="preserve">Online Crash Reporting </w:t>
      </w:r>
    </w:p>
    <w:p w14:paraId="398D97E9" w14:textId="77777777" w:rsidR="00371A85" w:rsidRPr="00983F6F" w:rsidRDefault="00371A85" w:rsidP="00371A85">
      <w:pPr>
        <w:jc w:val="left"/>
        <w:rPr>
          <w:rFonts w:ascii="Arial" w:hAnsi="Arial" w:cs="Arial"/>
        </w:rPr>
      </w:pPr>
      <w:r w:rsidRPr="00983F6F">
        <w:rPr>
          <w:rFonts w:ascii="Arial" w:hAnsi="Arial" w:cs="Arial"/>
        </w:rPr>
        <w:t xml:space="preserve">The Online Crash Reporting Facility (OCRF) is a joint initiative of the Insurance Commission and </w:t>
      </w:r>
      <w:r>
        <w:rPr>
          <w:rFonts w:ascii="Arial" w:hAnsi="Arial" w:cs="Arial"/>
        </w:rPr>
        <w:t>the Western Australia Police Force</w:t>
      </w:r>
      <w:r w:rsidRPr="00983F6F">
        <w:rPr>
          <w:rFonts w:ascii="Arial" w:hAnsi="Arial" w:cs="Arial"/>
        </w:rPr>
        <w:t xml:space="preserve">. The Insurance Commission provides customers with an efficient and convenient </w:t>
      </w:r>
      <w:r>
        <w:rPr>
          <w:rFonts w:ascii="Arial" w:hAnsi="Arial" w:cs="Arial"/>
        </w:rPr>
        <w:t xml:space="preserve">online </w:t>
      </w:r>
      <w:r w:rsidRPr="00983F6F">
        <w:rPr>
          <w:rFonts w:ascii="Arial" w:hAnsi="Arial" w:cs="Arial"/>
        </w:rPr>
        <w:t>process to report motor vehicle crashes in WA.</w:t>
      </w:r>
    </w:p>
    <w:p w14:paraId="0809916E" w14:textId="77777777" w:rsidR="00371A85" w:rsidRPr="00983F6F" w:rsidRDefault="00371A85" w:rsidP="00371A85">
      <w:pPr>
        <w:jc w:val="left"/>
        <w:rPr>
          <w:rFonts w:ascii="Arial" w:hAnsi="Arial" w:cs="Arial"/>
        </w:rPr>
      </w:pPr>
    </w:p>
    <w:p w14:paraId="721CD5FD" w14:textId="77777777" w:rsidR="00371A85" w:rsidRPr="00983F6F" w:rsidRDefault="00371A85" w:rsidP="00371A85">
      <w:pPr>
        <w:jc w:val="left"/>
        <w:rPr>
          <w:rFonts w:ascii="Arial" w:hAnsi="Arial" w:cs="Arial"/>
        </w:rPr>
      </w:pPr>
      <w:r w:rsidRPr="00983F6F">
        <w:rPr>
          <w:rFonts w:ascii="Arial" w:hAnsi="Arial" w:cs="Arial"/>
        </w:rPr>
        <w:t>The facility is a good example of inter-agency cooperation. No police station visit is required to report a car crash to initiate insurance claims, saving time and police resources.</w:t>
      </w:r>
    </w:p>
    <w:p w14:paraId="574A517B" w14:textId="77777777" w:rsidR="00371A85" w:rsidRPr="00983F6F" w:rsidRDefault="00371A85" w:rsidP="00371A85">
      <w:pPr>
        <w:jc w:val="left"/>
        <w:rPr>
          <w:rFonts w:ascii="Arial" w:hAnsi="Arial" w:cs="Arial"/>
        </w:rPr>
      </w:pPr>
    </w:p>
    <w:p w14:paraId="5924BE37" w14:textId="77777777" w:rsidR="00371A85" w:rsidRPr="00983F6F" w:rsidRDefault="00371A85" w:rsidP="00371A85">
      <w:pPr>
        <w:jc w:val="left"/>
        <w:rPr>
          <w:rFonts w:ascii="Arial" w:hAnsi="Arial" w:cs="Arial"/>
        </w:rPr>
      </w:pPr>
      <w:r w:rsidRPr="00983F6F">
        <w:rPr>
          <w:rFonts w:ascii="Arial" w:hAnsi="Arial" w:cs="Arial"/>
        </w:rPr>
        <w:t xml:space="preserve">As well as providing a more efficient, convenient and customer focused means of reporting crashes, the improved reliability, accuracy and completeness of crash data delivered by the OCRF provides better data to inform road safety strategies in WA. </w:t>
      </w:r>
    </w:p>
    <w:p w14:paraId="71A21859" w14:textId="77777777" w:rsidR="00371A85" w:rsidRPr="00983F6F" w:rsidRDefault="00371A85" w:rsidP="00371A85">
      <w:pPr>
        <w:jc w:val="left"/>
        <w:rPr>
          <w:rFonts w:ascii="Arial" w:hAnsi="Arial" w:cs="Arial"/>
        </w:rPr>
      </w:pPr>
    </w:p>
    <w:p w14:paraId="728CFC66" w14:textId="77777777" w:rsidR="00371A85" w:rsidRPr="00983F6F" w:rsidRDefault="00371A85" w:rsidP="00371A85">
      <w:pPr>
        <w:jc w:val="left"/>
        <w:rPr>
          <w:rFonts w:ascii="Arial" w:hAnsi="Arial" w:cs="Arial"/>
        </w:rPr>
      </w:pPr>
      <w:r w:rsidRPr="00983F6F">
        <w:rPr>
          <w:rFonts w:ascii="Arial" w:hAnsi="Arial" w:cs="Arial"/>
        </w:rPr>
        <w:t>This joint initiative also involves data sharing with DoT, Main Roads and the Road Safety Commission.</w:t>
      </w:r>
    </w:p>
    <w:p w14:paraId="25BBCED1" w14:textId="77777777" w:rsidR="00371A85" w:rsidRPr="00983F6F" w:rsidRDefault="00371A85" w:rsidP="00371A85">
      <w:pPr>
        <w:jc w:val="left"/>
        <w:rPr>
          <w:rFonts w:ascii="Arial" w:hAnsi="Arial" w:cs="Arial"/>
        </w:rPr>
      </w:pPr>
    </w:p>
    <w:p w14:paraId="30F9E1D9" w14:textId="77777777" w:rsidR="00371A85" w:rsidRPr="00983F6F" w:rsidRDefault="00371A85" w:rsidP="00371A85">
      <w:pPr>
        <w:jc w:val="left"/>
        <w:rPr>
          <w:rFonts w:ascii="Arial" w:hAnsi="Arial" w:cs="Arial"/>
        </w:rPr>
      </w:pPr>
      <w:r w:rsidRPr="00983F6F">
        <w:rPr>
          <w:rFonts w:ascii="Arial" w:hAnsi="Arial" w:cs="Arial"/>
        </w:rPr>
        <w:lastRenderedPageBreak/>
        <w:t>The Insurance Commission is not aware of any other Australian jurisdiction having a customer service initiative of this type.</w:t>
      </w:r>
    </w:p>
    <w:p w14:paraId="7D5A04F7" w14:textId="77777777" w:rsidR="00371A85" w:rsidRPr="00983F6F" w:rsidRDefault="00371A85" w:rsidP="00371A85">
      <w:pPr>
        <w:jc w:val="left"/>
        <w:rPr>
          <w:rFonts w:ascii="Arial" w:hAnsi="Arial" w:cs="Arial"/>
        </w:rPr>
      </w:pPr>
    </w:p>
    <w:p w14:paraId="017D6E59" w14:textId="77777777" w:rsidR="00371A85" w:rsidRPr="007326DB" w:rsidRDefault="00371A85" w:rsidP="00371A85">
      <w:pPr>
        <w:jc w:val="left"/>
        <w:rPr>
          <w:rFonts w:ascii="Arial" w:hAnsi="Arial" w:cs="Arial"/>
        </w:rPr>
      </w:pPr>
      <w:r>
        <w:rPr>
          <w:rFonts w:ascii="Arial" w:hAnsi="Arial" w:cs="Arial"/>
        </w:rPr>
        <w:t>In 2018, the OCRF was enhanced to make it fully accessible on mobile devices, providing motorists with an improved user interface to enable early and convenient reporting of crashes.</w:t>
      </w:r>
    </w:p>
    <w:p w14:paraId="43FEEE20" w14:textId="77777777" w:rsidR="00371A85" w:rsidRPr="00983F6F" w:rsidRDefault="00371A85" w:rsidP="00371A85">
      <w:pPr>
        <w:jc w:val="left"/>
        <w:rPr>
          <w:rFonts w:ascii="Arial" w:hAnsi="Arial" w:cs="Arial"/>
          <w:i/>
        </w:rPr>
      </w:pPr>
    </w:p>
    <w:p w14:paraId="26021865" w14:textId="77777777" w:rsidR="00371A85" w:rsidRPr="00983F6F" w:rsidRDefault="00371A85" w:rsidP="00371A85">
      <w:pPr>
        <w:jc w:val="left"/>
        <w:rPr>
          <w:rFonts w:ascii="Arial" w:hAnsi="Arial" w:cs="Arial"/>
          <w:b/>
        </w:rPr>
      </w:pPr>
      <w:r w:rsidRPr="00983F6F">
        <w:rPr>
          <w:rFonts w:ascii="Arial" w:hAnsi="Arial" w:cs="Arial"/>
          <w:b/>
        </w:rPr>
        <w:t>Former Police Officers</w:t>
      </w:r>
    </w:p>
    <w:p w14:paraId="396EA6AB" w14:textId="77777777" w:rsidR="00371A85" w:rsidRPr="00983F6F" w:rsidRDefault="00371A85" w:rsidP="00371A85">
      <w:pPr>
        <w:jc w:val="left"/>
        <w:rPr>
          <w:rFonts w:ascii="Arial" w:hAnsi="Arial" w:cs="Arial"/>
        </w:rPr>
      </w:pPr>
      <w:r w:rsidRPr="00983F6F">
        <w:rPr>
          <w:rFonts w:ascii="Arial" w:hAnsi="Arial" w:cs="Arial"/>
        </w:rPr>
        <w:t xml:space="preserve">The Insurance Commission manages claims lodged by former Police Officers and Aboriginal Police Liaison Officers under the </w:t>
      </w:r>
      <w:r w:rsidRPr="00983F6F">
        <w:rPr>
          <w:rFonts w:ascii="Arial" w:hAnsi="Arial" w:cs="Arial"/>
          <w:i/>
        </w:rPr>
        <w:t xml:space="preserve">Police (Medical and Other Expenses for Former Officers) Act 2008. </w:t>
      </w:r>
    </w:p>
    <w:p w14:paraId="64FCCF00" w14:textId="77777777" w:rsidR="00371A85" w:rsidRDefault="00371A85" w:rsidP="00371A85">
      <w:pPr>
        <w:rPr>
          <w:rFonts w:ascii="Arial" w:hAnsi="Arial" w:cs="Arial"/>
          <w:szCs w:val="24"/>
        </w:rPr>
      </w:pPr>
    </w:p>
    <w:p w14:paraId="519E2DE2" w14:textId="77777777" w:rsidR="009A7694" w:rsidRDefault="009A7694" w:rsidP="00371A85">
      <w:pPr>
        <w:rPr>
          <w:rFonts w:ascii="Arial" w:hAnsi="Arial" w:cs="Arial"/>
          <w:szCs w:val="24"/>
        </w:rPr>
      </w:pPr>
    </w:p>
    <w:p w14:paraId="3C530CBF" w14:textId="77777777" w:rsidR="009A7694" w:rsidRDefault="009A7694" w:rsidP="00371A85">
      <w:pPr>
        <w:rPr>
          <w:rFonts w:ascii="Arial" w:hAnsi="Arial" w:cs="Arial"/>
          <w:szCs w:val="24"/>
        </w:rPr>
      </w:pPr>
    </w:p>
    <w:p w14:paraId="591CC677" w14:textId="77777777" w:rsidR="009A7694" w:rsidRDefault="009A7694" w:rsidP="00371A85">
      <w:pPr>
        <w:rPr>
          <w:rFonts w:ascii="Arial" w:hAnsi="Arial" w:cs="Arial"/>
          <w:szCs w:val="24"/>
        </w:rPr>
      </w:pPr>
    </w:p>
    <w:p w14:paraId="3FF69D38" w14:textId="77777777" w:rsidR="009A7694" w:rsidRDefault="009A7694" w:rsidP="00371A85">
      <w:pPr>
        <w:rPr>
          <w:rFonts w:ascii="Arial" w:hAnsi="Arial" w:cs="Arial"/>
          <w:szCs w:val="24"/>
        </w:rPr>
      </w:pPr>
    </w:p>
    <w:p w14:paraId="72FA4CF3" w14:textId="77777777" w:rsidR="009A7694" w:rsidRDefault="009A7694" w:rsidP="00371A85">
      <w:pPr>
        <w:rPr>
          <w:rFonts w:ascii="Arial" w:hAnsi="Arial" w:cs="Arial"/>
          <w:szCs w:val="24"/>
        </w:rPr>
      </w:pPr>
    </w:p>
    <w:p w14:paraId="0766FDCB" w14:textId="77777777" w:rsidR="009A7694" w:rsidRDefault="009A7694" w:rsidP="00371A85">
      <w:pPr>
        <w:rPr>
          <w:rFonts w:ascii="Arial" w:hAnsi="Arial" w:cs="Arial"/>
          <w:szCs w:val="24"/>
        </w:rPr>
      </w:pPr>
    </w:p>
    <w:p w14:paraId="1522FD6F" w14:textId="77777777" w:rsidR="009A7694" w:rsidRDefault="009A7694" w:rsidP="00371A85">
      <w:pPr>
        <w:rPr>
          <w:rFonts w:ascii="Arial" w:hAnsi="Arial" w:cs="Arial"/>
          <w:szCs w:val="24"/>
        </w:rPr>
      </w:pPr>
    </w:p>
    <w:p w14:paraId="7A615700" w14:textId="77777777" w:rsidR="009A7694" w:rsidRDefault="009A7694" w:rsidP="00371A85">
      <w:pPr>
        <w:rPr>
          <w:rFonts w:ascii="Arial" w:hAnsi="Arial" w:cs="Arial"/>
          <w:szCs w:val="24"/>
        </w:rPr>
      </w:pPr>
    </w:p>
    <w:p w14:paraId="03538660" w14:textId="77777777" w:rsidR="009A7694" w:rsidRDefault="009A7694" w:rsidP="00371A85">
      <w:pPr>
        <w:rPr>
          <w:rFonts w:ascii="Arial" w:hAnsi="Arial" w:cs="Arial"/>
          <w:szCs w:val="24"/>
        </w:rPr>
      </w:pPr>
    </w:p>
    <w:p w14:paraId="3656CF97" w14:textId="77777777" w:rsidR="009A7694" w:rsidRDefault="009A7694" w:rsidP="00371A85">
      <w:pPr>
        <w:rPr>
          <w:rFonts w:ascii="Arial" w:hAnsi="Arial" w:cs="Arial"/>
          <w:szCs w:val="24"/>
        </w:rPr>
      </w:pPr>
    </w:p>
    <w:p w14:paraId="3B66AEF9" w14:textId="77777777" w:rsidR="009A7694" w:rsidRDefault="009A7694" w:rsidP="00371A85">
      <w:pPr>
        <w:rPr>
          <w:rFonts w:ascii="Arial" w:hAnsi="Arial" w:cs="Arial"/>
          <w:szCs w:val="24"/>
        </w:rPr>
      </w:pPr>
    </w:p>
    <w:p w14:paraId="6D534C23" w14:textId="77777777" w:rsidR="009A7694" w:rsidRDefault="009A7694" w:rsidP="00371A85">
      <w:pPr>
        <w:rPr>
          <w:rFonts w:ascii="Arial" w:hAnsi="Arial" w:cs="Arial"/>
          <w:szCs w:val="24"/>
        </w:rPr>
      </w:pPr>
    </w:p>
    <w:p w14:paraId="2F9CD812" w14:textId="77777777" w:rsidR="009A7694" w:rsidRDefault="009A7694" w:rsidP="00371A85">
      <w:pPr>
        <w:rPr>
          <w:rFonts w:ascii="Arial" w:hAnsi="Arial" w:cs="Arial"/>
          <w:szCs w:val="24"/>
        </w:rPr>
      </w:pPr>
    </w:p>
    <w:p w14:paraId="2F1A0009" w14:textId="77777777" w:rsidR="009A7694" w:rsidRDefault="009A7694" w:rsidP="00371A85">
      <w:pPr>
        <w:rPr>
          <w:rFonts w:ascii="Arial" w:hAnsi="Arial" w:cs="Arial"/>
          <w:szCs w:val="24"/>
        </w:rPr>
      </w:pPr>
    </w:p>
    <w:p w14:paraId="1380166A" w14:textId="77777777" w:rsidR="009A7694" w:rsidRDefault="009A7694" w:rsidP="00371A85">
      <w:pPr>
        <w:rPr>
          <w:rFonts w:ascii="Arial" w:hAnsi="Arial" w:cs="Arial"/>
          <w:szCs w:val="24"/>
        </w:rPr>
      </w:pPr>
    </w:p>
    <w:p w14:paraId="33E89C60" w14:textId="77777777" w:rsidR="009A7694" w:rsidRDefault="009A7694" w:rsidP="00371A85">
      <w:pPr>
        <w:rPr>
          <w:rFonts w:ascii="Arial" w:hAnsi="Arial" w:cs="Arial"/>
          <w:szCs w:val="24"/>
        </w:rPr>
      </w:pPr>
    </w:p>
    <w:p w14:paraId="7DC3EDBB" w14:textId="77777777" w:rsidR="009A7694" w:rsidRDefault="009A7694" w:rsidP="00371A85">
      <w:pPr>
        <w:rPr>
          <w:rFonts w:ascii="Arial" w:hAnsi="Arial" w:cs="Arial"/>
          <w:szCs w:val="24"/>
        </w:rPr>
      </w:pPr>
    </w:p>
    <w:p w14:paraId="60841D7C" w14:textId="77777777" w:rsidR="009A7694" w:rsidRDefault="009A7694" w:rsidP="00371A85">
      <w:pPr>
        <w:rPr>
          <w:rFonts w:ascii="Arial" w:hAnsi="Arial" w:cs="Arial"/>
          <w:szCs w:val="24"/>
        </w:rPr>
      </w:pPr>
    </w:p>
    <w:p w14:paraId="476C164F" w14:textId="77777777" w:rsidR="009A7694" w:rsidRDefault="009A7694" w:rsidP="00371A85">
      <w:pPr>
        <w:rPr>
          <w:rFonts w:ascii="Arial" w:hAnsi="Arial" w:cs="Arial"/>
          <w:szCs w:val="24"/>
        </w:rPr>
      </w:pPr>
    </w:p>
    <w:p w14:paraId="18A09CA2" w14:textId="77777777" w:rsidR="009A7694" w:rsidRDefault="009A7694" w:rsidP="00371A85">
      <w:pPr>
        <w:rPr>
          <w:rFonts w:ascii="Arial" w:hAnsi="Arial" w:cs="Arial"/>
          <w:szCs w:val="24"/>
        </w:rPr>
      </w:pPr>
    </w:p>
    <w:p w14:paraId="64A5B4B6" w14:textId="77777777" w:rsidR="009A7694" w:rsidRDefault="009A7694" w:rsidP="00371A85">
      <w:pPr>
        <w:rPr>
          <w:rFonts w:ascii="Arial" w:hAnsi="Arial" w:cs="Arial"/>
          <w:szCs w:val="24"/>
        </w:rPr>
      </w:pPr>
    </w:p>
    <w:p w14:paraId="44129D5B" w14:textId="77777777" w:rsidR="009A7694" w:rsidRDefault="009A7694" w:rsidP="00371A85">
      <w:pPr>
        <w:rPr>
          <w:rFonts w:ascii="Arial" w:hAnsi="Arial" w:cs="Arial"/>
          <w:szCs w:val="24"/>
        </w:rPr>
      </w:pPr>
    </w:p>
    <w:p w14:paraId="192B93D6" w14:textId="77777777" w:rsidR="009A7694" w:rsidRDefault="009A7694" w:rsidP="00371A85">
      <w:pPr>
        <w:rPr>
          <w:rFonts w:ascii="Arial" w:hAnsi="Arial" w:cs="Arial"/>
          <w:szCs w:val="24"/>
        </w:rPr>
      </w:pPr>
    </w:p>
    <w:p w14:paraId="37D3422C" w14:textId="77777777" w:rsidR="009A7694" w:rsidRDefault="009A7694" w:rsidP="00371A85">
      <w:pPr>
        <w:rPr>
          <w:rFonts w:ascii="Arial" w:hAnsi="Arial" w:cs="Arial"/>
          <w:szCs w:val="24"/>
        </w:rPr>
      </w:pPr>
    </w:p>
    <w:p w14:paraId="3E9E6C20" w14:textId="77777777" w:rsidR="009A7694" w:rsidRDefault="009A7694" w:rsidP="00371A85">
      <w:pPr>
        <w:rPr>
          <w:rFonts w:ascii="Arial" w:hAnsi="Arial" w:cs="Arial"/>
          <w:szCs w:val="24"/>
        </w:rPr>
      </w:pPr>
    </w:p>
    <w:p w14:paraId="5EA6CECE" w14:textId="77777777" w:rsidR="009A7694" w:rsidRDefault="009A7694" w:rsidP="00371A85">
      <w:pPr>
        <w:rPr>
          <w:rFonts w:ascii="Arial" w:hAnsi="Arial" w:cs="Arial"/>
          <w:szCs w:val="24"/>
        </w:rPr>
      </w:pPr>
    </w:p>
    <w:p w14:paraId="4058A41B" w14:textId="77777777" w:rsidR="009A7694" w:rsidRDefault="009A7694" w:rsidP="00371A85">
      <w:pPr>
        <w:rPr>
          <w:rFonts w:ascii="Arial" w:hAnsi="Arial" w:cs="Arial"/>
          <w:szCs w:val="24"/>
        </w:rPr>
      </w:pPr>
    </w:p>
    <w:p w14:paraId="239C6F89" w14:textId="77777777" w:rsidR="009A7694" w:rsidRDefault="009A7694" w:rsidP="00371A85">
      <w:pPr>
        <w:rPr>
          <w:rFonts w:ascii="Arial" w:hAnsi="Arial" w:cs="Arial"/>
          <w:szCs w:val="24"/>
        </w:rPr>
      </w:pPr>
    </w:p>
    <w:p w14:paraId="436F9870" w14:textId="77777777" w:rsidR="009A7694" w:rsidRDefault="009A7694" w:rsidP="00371A85">
      <w:pPr>
        <w:rPr>
          <w:rFonts w:ascii="Arial" w:hAnsi="Arial" w:cs="Arial"/>
          <w:szCs w:val="24"/>
        </w:rPr>
      </w:pPr>
    </w:p>
    <w:p w14:paraId="2B37C6F9" w14:textId="77777777" w:rsidR="009A7694" w:rsidRDefault="009A7694" w:rsidP="00371A85">
      <w:pPr>
        <w:rPr>
          <w:rFonts w:ascii="Arial" w:hAnsi="Arial" w:cs="Arial"/>
          <w:szCs w:val="24"/>
        </w:rPr>
      </w:pPr>
    </w:p>
    <w:p w14:paraId="15D90079" w14:textId="77777777" w:rsidR="009A7694" w:rsidRDefault="009A7694" w:rsidP="00371A85">
      <w:pPr>
        <w:rPr>
          <w:rFonts w:ascii="Arial" w:hAnsi="Arial" w:cs="Arial"/>
          <w:szCs w:val="24"/>
        </w:rPr>
      </w:pPr>
    </w:p>
    <w:p w14:paraId="40F3D668" w14:textId="77777777" w:rsidR="009A7694" w:rsidRDefault="009A7694" w:rsidP="00371A85">
      <w:pPr>
        <w:rPr>
          <w:rFonts w:ascii="Arial" w:hAnsi="Arial" w:cs="Arial"/>
          <w:szCs w:val="24"/>
        </w:rPr>
      </w:pPr>
    </w:p>
    <w:p w14:paraId="65753350" w14:textId="77777777" w:rsidR="009A7694" w:rsidRDefault="009A7694" w:rsidP="00371A85">
      <w:pPr>
        <w:rPr>
          <w:rFonts w:ascii="Arial" w:hAnsi="Arial" w:cs="Arial"/>
          <w:szCs w:val="24"/>
        </w:rPr>
      </w:pPr>
    </w:p>
    <w:p w14:paraId="5C3E749A" w14:textId="77777777" w:rsidR="009A7694" w:rsidRDefault="009A7694" w:rsidP="00371A85">
      <w:pPr>
        <w:rPr>
          <w:rFonts w:ascii="Arial" w:hAnsi="Arial" w:cs="Arial"/>
          <w:szCs w:val="24"/>
        </w:rPr>
      </w:pPr>
    </w:p>
    <w:p w14:paraId="630C3167" w14:textId="77777777" w:rsidR="009A7694" w:rsidRDefault="009A7694" w:rsidP="00371A85">
      <w:pPr>
        <w:rPr>
          <w:rFonts w:ascii="Arial" w:hAnsi="Arial" w:cs="Arial"/>
          <w:szCs w:val="24"/>
        </w:rPr>
      </w:pPr>
    </w:p>
    <w:p w14:paraId="65D0271D" w14:textId="77777777" w:rsidR="009A7694" w:rsidRDefault="009A7694" w:rsidP="00371A85">
      <w:pPr>
        <w:rPr>
          <w:rFonts w:ascii="Arial" w:hAnsi="Arial" w:cs="Arial"/>
          <w:szCs w:val="24"/>
        </w:rPr>
      </w:pPr>
    </w:p>
    <w:p w14:paraId="7D79768C" w14:textId="77777777" w:rsidR="009A7694" w:rsidRDefault="009A7694" w:rsidP="00371A85">
      <w:pPr>
        <w:rPr>
          <w:rFonts w:ascii="Arial" w:hAnsi="Arial" w:cs="Arial"/>
          <w:szCs w:val="24"/>
        </w:rPr>
      </w:pPr>
    </w:p>
    <w:p w14:paraId="37C5D218" w14:textId="77777777" w:rsidR="009A7694" w:rsidRPr="002B3D99" w:rsidRDefault="009A7694" w:rsidP="002B3D99">
      <w:pPr>
        <w:pStyle w:val="ARHeading1"/>
      </w:pPr>
      <w:bookmarkStart w:id="51" w:name="_Toc458802736"/>
      <w:bookmarkStart w:id="52" w:name="_Toc524709387"/>
      <w:r>
        <w:lastRenderedPageBreak/>
        <w:t>3.</w:t>
      </w:r>
      <w:r>
        <w:tab/>
      </w:r>
      <w:r w:rsidRPr="008C05D5">
        <w:t>Performance</w:t>
      </w:r>
      <w:bookmarkStart w:id="53" w:name="_Toc390680578"/>
      <w:bookmarkStart w:id="54" w:name="_Toc458802737"/>
      <w:bookmarkEnd w:id="51"/>
      <w:bookmarkEnd w:id="52"/>
      <w:r w:rsidR="002B3D99">
        <w:br/>
      </w:r>
    </w:p>
    <w:p w14:paraId="3B19B8AA" w14:textId="77777777" w:rsidR="009A7694" w:rsidRPr="008C05D5" w:rsidRDefault="009A7694" w:rsidP="009A7694">
      <w:pPr>
        <w:pStyle w:val="ARHeading2"/>
        <w:rPr>
          <w:i/>
        </w:rPr>
      </w:pPr>
      <w:bookmarkStart w:id="55" w:name="_Toc524709388"/>
      <w:r w:rsidRPr="008C05D5">
        <w:t>3.1</w:t>
      </w:r>
      <w:r w:rsidRPr="008C05D5">
        <w:tab/>
        <w:t>Insurance Commission</w:t>
      </w:r>
      <w:bookmarkEnd w:id="53"/>
      <w:bookmarkEnd w:id="54"/>
      <w:bookmarkEnd w:id="55"/>
    </w:p>
    <w:p w14:paraId="64CE1258" w14:textId="77777777" w:rsidR="009A7694" w:rsidRDefault="009A7694" w:rsidP="009A7694">
      <w:pPr>
        <w:contextualSpacing/>
        <w:rPr>
          <w:rFonts w:ascii="Arial" w:hAnsi="Arial" w:cs="Arial"/>
          <w:lang w:val="en-US"/>
        </w:rPr>
      </w:pPr>
    </w:p>
    <w:p w14:paraId="50A2A9D6" w14:textId="77777777" w:rsidR="009A7694" w:rsidRPr="00E87507" w:rsidRDefault="009A7694" w:rsidP="009A7694">
      <w:pPr>
        <w:contextualSpacing/>
        <w:rPr>
          <w:rFonts w:ascii="Arial" w:hAnsi="Arial" w:cs="Arial"/>
          <w:lang w:val="en-US"/>
        </w:rPr>
      </w:pPr>
      <w:r w:rsidRPr="00E87507">
        <w:rPr>
          <w:rFonts w:ascii="Arial" w:hAnsi="Arial" w:cs="Arial"/>
          <w:lang w:val="en-US"/>
        </w:rPr>
        <w:t>The Insurance Commission’s main investment portfolio delivered a gross return of 9.4% for 2018. This return comprises investments in the Third Party Insurance Fund, RiskCover Fund, Insurance Commission Gene</w:t>
      </w:r>
      <w:r>
        <w:rPr>
          <w:rFonts w:ascii="Arial" w:hAnsi="Arial" w:cs="Arial"/>
          <w:lang w:val="en-US"/>
        </w:rPr>
        <w:t>ral Fund, Government Insurance F</w:t>
      </w:r>
      <w:r w:rsidRPr="00E87507">
        <w:rPr>
          <w:rFonts w:ascii="Arial" w:hAnsi="Arial" w:cs="Arial"/>
          <w:lang w:val="en-US"/>
        </w:rPr>
        <w:t xml:space="preserve">und and Compensation (Industrial Diseases) Fund. The total investment return for the Insurance Commission was 9.1% for the year, which is lower </w:t>
      </w:r>
      <w:r>
        <w:rPr>
          <w:rFonts w:ascii="Arial" w:hAnsi="Arial" w:cs="Arial"/>
          <w:lang w:val="en-US"/>
        </w:rPr>
        <w:t>than the Main Fund as</w:t>
      </w:r>
      <w:r w:rsidRPr="00E87507">
        <w:rPr>
          <w:rFonts w:ascii="Arial" w:hAnsi="Arial" w:cs="Arial"/>
          <w:lang w:val="en-US"/>
        </w:rPr>
        <w:t xml:space="preserve"> a high</w:t>
      </w:r>
      <w:r>
        <w:rPr>
          <w:rFonts w:ascii="Arial" w:hAnsi="Arial" w:cs="Arial"/>
          <w:lang w:val="en-US"/>
        </w:rPr>
        <w:t>er</w:t>
      </w:r>
      <w:r w:rsidRPr="00E87507">
        <w:rPr>
          <w:rFonts w:ascii="Arial" w:hAnsi="Arial" w:cs="Arial"/>
          <w:lang w:val="en-US"/>
        </w:rPr>
        <w:t xml:space="preserve"> proportion of cash</w:t>
      </w:r>
      <w:r>
        <w:rPr>
          <w:rFonts w:ascii="Arial" w:hAnsi="Arial" w:cs="Arial"/>
          <w:lang w:val="en-US"/>
        </w:rPr>
        <w:t xml:space="preserve"> is </w:t>
      </w:r>
      <w:r w:rsidRPr="00E87507">
        <w:rPr>
          <w:rFonts w:ascii="Arial" w:hAnsi="Arial" w:cs="Arial"/>
          <w:lang w:val="en-US"/>
        </w:rPr>
        <w:t>held in the Motor Vehicle (Catastrophic Injuries) Fun</w:t>
      </w:r>
      <w:r>
        <w:rPr>
          <w:rFonts w:ascii="Arial" w:hAnsi="Arial" w:cs="Arial"/>
          <w:lang w:val="en-US"/>
        </w:rPr>
        <w:t>d.</w:t>
      </w:r>
    </w:p>
    <w:p w14:paraId="0B5A57DA" w14:textId="77777777" w:rsidR="009A7694" w:rsidRPr="00E87507" w:rsidRDefault="009A7694" w:rsidP="009A7694">
      <w:pPr>
        <w:pStyle w:val="ListParagraph"/>
        <w:contextualSpacing/>
        <w:rPr>
          <w:rFonts w:ascii="Arial" w:hAnsi="Arial" w:cs="Arial"/>
          <w:lang w:val="en-US"/>
        </w:rPr>
      </w:pPr>
    </w:p>
    <w:p w14:paraId="23E90942" w14:textId="77777777" w:rsidR="009A7694" w:rsidRDefault="009A7694" w:rsidP="009A7694">
      <w:pPr>
        <w:pStyle w:val="ListParagraph"/>
        <w:ind w:left="0"/>
        <w:contextualSpacing/>
        <w:rPr>
          <w:rFonts w:ascii="Arial" w:hAnsi="Arial" w:cs="Arial"/>
          <w:lang w:val="en-US"/>
        </w:rPr>
      </w:pPr>
      <w:r w:rsidRPr="00E87507">
        <w:rPr>
          <w:rFonts w:ascii="Arial" w:hAnsi="Arial" w:cs="Arial"/>
          <w:lang w:val="en-US"/>
        </w:rPr>
        <w:t xml:space="preserve">This investment return is an encouraging result as the Insurance Commission has </w:t>
      </w:r>
      <w:r>
        <w:rPr>
          <w:rFonts w:ascii="Arial" w:hAnsi="Arial" w:cs="Arial"/>
          <w:lang w:val="en-US"/>
        </w:rPr>
        <w:t>allocated</w:t>
      </w:r>
      <w:r w:rsidRPr="00E87507">
        <w:rPr>
          <w:rFonts w:ascii="Arial" w:hAnsi="Arial" w:cs="Arial"/>
          <w:lang w:val="en-US"/>
        </w:rPr>
        <w:t xml:space="preserve"> only 40% to Equities which is </w:t>
      </w:r>
      <w:r>
        <w:rPr>
          <w:rFonts w:ascii="Arial" w:hAnsi="Arial" w:cs="Arial"/>
          <w:lang w:val="en-US"/>
        </w:rPr>
        <w:t xml:space="preserve">materially lower than the allocation to Equities </w:t>
      </w:r>
      <w:proofErr w:type="spellStart"/>
      <w:r>
        <w:rPr>
          <w:rFonts w:ascii="Arial" w:hAnsi="Arial" w:cs="Arial"/>
          <w:lang w:val="en-US"/>
        </w:rPr>
        <w:t>utilised</w:t>
      </w:r>
      <w:proofErr w:type="spellEnd"/>
      <w:r>
        <w:rPr>
          <w:rFonts w:ascii="Arial" w:hAnsi="Arial" w:cs="Arial"/>
          <w:lang w:val="en-US"/>
        </w:rPr>
        <w:t xml:space="preserve"> by</w:t>
      </w:r>
      <w:r w:rsidRPr="00E87507">
        <w:rPr>
          <w:rFonts w:ascii="Arial" w:hAnsi="Arial" w:cs="Arial"/>
          <w:lang w:val="en-US"/>
        </w:rPr>
        <w:t xml:space="preserve"> most superannuation funds.</w:t>
      </w:r>
    </w:p>
    <w:p w14:paraId="3E14F242" w14:textId="77777777" w:rsidR="009A7694" w:rsidRPr="008C05D5" w:rsidRDefault="009A7694" w:rsidP="009A7694">
      <w:pPr>
        <w:pStyle w:val="ListParagraph"/>
        <w:ind w:left="0"/>
        <w:contextualSpacing/>
        <w:rPr>
          <w:rFonts w:ascii="Arial" w:hAnsi="Arial" w:cs="Arial"/>
          <w:lang w:val="en-US"/>
        </w:rPr>
      </w:pPr>
    </w:p>
    <w:p w14:paraId="449E9A2E" w14:textId="77777777" w:rsidR="009A7694" w:rsidRPr="008C05D5" w:rsidRDefault="009A7694" w:rsidP="009A7694">
      <w:pPr>
        <w:contextualSpacing/>
        <w:rPr>
          <w:rFonts w:ascii="Arial" w:hAnsi="Arial" w:cs="Arial"/>
          <w:lang w:val="en-US"/>
        </w:rPr>
      </w:pPr>
      <w:r w:rsidRPr="00E87507">
        <w:rPr>
          <w:rFonts w:ascii="Arial" w:hAnsi="Arial" w:cs="Arial"/>
          <w:lang w:val="en-US"/>
        </w:rPr>
        <w:t xml:space="preserve">The Insurance Commission’s profit before income tax (excluding RiskCover) was $382.7 million in 2018. </w:t>
      </w:r>
      <w:r w:rsidRPr="004E236A">
        <w:rPr>
          <w:rFonts w:ascii="Arial" w:hAnsi="Arial" w:cs="Arial"/>
          <w:lang w:val="en-US"/>
        </w:rPr>
        <w:t>The profit after income tax (excluding RiskCover) was $</w:t>
      </w:r>
      <w:r>
        <w:rPr>
          <w:rFonts w:ascii="Arial" w:hAnsi="Arial" w:cs="Arial"/>
          <w:lang w:val="en-US"/>
        </w:rPr>
        <w:t>277</w:t>
      </w:r>
      <w:r w:rsidRPr="004E236A">
        <w:rPr>
          <w:rFonts w:ascii="Arial" w:hAnsi="Arial" w:cs="Arial"/>
          <w:lang w:val="en-US"/>
        </w:rPr>
        <w:t>.7 million</w:t>
      </w:r>
      <w:r>
        <w:rPr>
          <w:rFonts w:ascii="Arial" w:hAnsi="Arial" w:cs="Arial"/>
          <w:lang w:val="en-US"/>
        </w:rPr>
        <w:t xml:space="preserve"> for 2018</w:t>
      </w:r>
      <w:r w:rsidRPr="008C05D5">
        <w:rPr>
          <w:rFonts w:ascii="Arial" w:hAnsi="Arial" w:cs="Arial"/>
          <w:lang w:val="en-US"/>
        </w:rPr>
        <w:t>.</w:t>
      </w:r>
      <w:r>
        <w:rPr>
          <w:rFonts w:ascii="Arial" w:hAnsi="Arial" w:cs="Arial"/>
          <w:lang w:val="en-US"/>
        </w:rPr>
        <w:t xml:space="preserve"> </w:t>
      </w:r>
    </w:p>
    <w:p w14:paraId="138DA623" w14:textId="77777777" w:rsidR="009A7694" w:rsidRPr="008C05D5" w:rsidRDefault="009A7694" w:rsidP="009A7694">
      <w:pPr>
        <w:pStyle w:val="ListParagraph"/>
        <w:ind w:left="0"/>
        <w:contextualSpacing/>
        <w:rPr>
          <w:rFonts w:ascii="Arial" w:hAnsi="Arial" w:cs="Arial"/>
          <w:lang w:val="en-US"/>
        </w:rPr>
      </w:pPr>
    </w:p>
    <w:p w14:paraId="3C2B54DF" w14:textId="77777777" w:rsidR="009A7694" w:rsidRPr="008C05D5" w:rsidRDefault="009A7694" w:rsidP="009A7694">
      <w:pPr>
        <w:pStyle w:val="ListParagraph"/>
        <w:ind w:left="0"/>
        <w:contextualSpacing/>
        <w:rPr>
          <w:rFonts w:ascii="Arial" w:hAnsi="Arial" w:cs="Arial"/>
          <w:lang w:val="en-US"/>
        </w:rPr>
      </w:pPr>
      <w:r w:rsidRPr="008C05D5">
        <w:rPr>
          <w:rFonts w:ascii="Arial" w:hAnsi="Arial" w:cs="Arial"/>
          <w:lang w:val="en-US"/>
        </w:rPr>
        <w:t xml:space="preserve">The total value of assets held by the Insurance Commission was </w:t>
      </w:r>
      <w:r w:rsidRPr="002707EE">
        <w:rPr>
          <w:rFonts w:ascii="Arial" w:hAnsi="Arial" w:cs="Arial"/>
          <w:lang w:val="en-US"/>
        </w:rPr>
        <w:t>$5.</w:t>
      </w:r>
      <w:r>
        <w:rPr>
          <w:rFonts w:ascii="Arial" w:hAnsi="Arial" w:cs="Arial"/>
          <w:lang w:val="en-US"/>
        </w:rPr>
        <w:t>6</w:t>
      </w:r>
      <w:r w:rsidRPr="002707EE">
        <w:rPr>
          <w:rFonts w:ascii="Arial" w:hAnsi="Arial" w:cs="Arial"/>
          <w:lang w:val="en-US"/>
        </w:rPr>
        <w:t xml:space="preserve"> billion</w:t>
      </w:r>
      <w:r w:rsidRPr="008C05D5">
        <w:rPr>
          <w:rFonts w:ascii="Arial" w:hAnsi="Arial" w:cs="Arial"/>
          <w:lang w:val="en-US"/>
        </w:rPr>
        <w:t xml:space="preserve"> at 30 June 201</w:t>
      </w:r>
      <w:r>
        <w:rPr>
          <w:rFonts w:ascii="Arial" w:hAnsi="Arial" w:cs="Arial"/>
          <w:lang w:val="en-US"/>
        </w:rPr>
        <w:t>8</w:t>
      </w:r>
      <w:r w:rsidRPr="008C05D5">
        <w:rPr>
          <w:rFonts w:ascii="Arial" w:hAnsi="Arial" w:cs="Arial"/>
          <w:lang w:val="en-US"/>
        </w:rPr>
        <w:t xml:space="preserve">.  </w:t>
      </w:r>
    </w:p>
    <w:p w14:paraId="6563C5C7" w14:textId="77777777" w:rsidR="009A7694" w:rsidRPr="008C05D5" w:rsidRDefault="009A7694" w:rsidP="009A7694">
      <w:pPr>
        <w:pStyle w:val="ListParagraph"/>
        <w:ind w:left="0"/>
        <w:contextualSpacing/>
        <w:rPr>
          <w:rFonts w:ascii="Arial" w:hAnsi="Arial" w:cs="Arial"/>
          <w:lang w:val="en-US"/>
        </w:rPr>
      </w:pPr>
    </w:p>
    <w:p w14:paraId="3FA74A2B" w14:textId="77777777" w:rsidR="009A7694" w:rsidRPr="008C05D5" w:rsidRDefault="009A7694" w:rsidP="009A7694">
      <w:pPr>
        <w:pStyle w:val="ListParagraph"/>
        <w:ind w:left="0"/>
        <w:contextualSpacing/>
        <w:rPr>
          <w:rFonts w:ascii="Arial" w:hAnsi="Arial" w:cs="Arial"/>
          <w:lang w:val="en-US"/>
        </w:rPr>
      </w:pPr>
      <w:r>
        <w:rPr>
          <w:rFonts w:ascii="Arial" w:hAnsi="Arial" w:cs="Arial"/>
          <w:lang w:val="en-US"/>
        </w:rPr>
        <w:t>In 2018</w:t>
      </w:r>
      <w:r w:rsidRPr="008C05D5">
        <w:rPr>
          <w:rFonts w:ascii="Arial" w:hAnsi="Arial" w:cs="Arial"/>
          <w:lang w:val="en-US"/>
        </w:rPr>
        <w:t>, the Insuran</w:t>
      </w:r>
      <w:r>
        <w:rPr>
          <w:rFonts w:ascii="Arial" w:hAnsi="Arial" w:cs="Arial"/>
          <w:lang w:val="en-US"/>
        </w:rPr>
        <w:t>ce Commission received over $1.2</w:t>
      </w:r>
      <w:r w:rsidRPr="008C05D5">
        <w:rPr>
          <w:rFonts w:ascii="Arial" w:hAnsi="Arial" w:cs="Arial"/>
          <w:lang w:val="en-US"/>
        </w:rPr>
        <w:t xml:space="preserve"> billion in total revenue</w:t>
      </w:r>
      <w:r>
        <w:rPr>
          <w:rFonts w:ascii="Arial" w:hAnsi="Arial" w:cs="Arial"/>
          <w:lang w:val="en-US"/>
        </w:rPr>
        <w:t xml:space="preserve"> and earnings (excluding RiskCover)</w:t>
      </w:r>
      <w:r w:rsidRPr="008C05D5">
        <w:rPr>
          <w:rFonts w:ascii="Arial" w:hAnsi="Arial" w:cs="Arial"/>
          <w:lang w:val="en-US"/>
        </w:rPr>
        <w:t>. Prem</w:t>
      </w:r>
      <w:r>
        <w:rPr>
          <w:rFonts w:ascii="Arial" w:hAnsi="Arial" w:cs="Arial"/>
          <w:lang w:val="en-US"/>
        </w:rPr>
        <w:t>ium revenue in 2018</w:t>
      </w:r>
      <w:r w:rsidRPr="008C05D5">
        <w:rPr>
          <w:rFonts w:ascii="Arial" w:hAnsi="Arial" w:cs="Arial"/>
          <w:lang w:val="en-US"/>
        </w:rPr>
        <w:t xml:space="preserve"> increased </w:t>
      </w:r>
      <w:r>
        <w:rPr>
          <w:rFonts w:ascii="Arial" w:hAnsi="Arial" w:cs="Arial"/>
          <w:lang w:val="en-US"/>
        </w:rPr>
        <w:t xml:space="preserve">by </w:t>
      </w:r>
      <w:r w:rsidRPr="008C05D5">
        <w:rPr>
          <w:rFonts w:ascii="Arial" w:hAnsi="Arial" w:cs="Arial"/>
          <w:lang w:val="en-US"/>
        </w:rPr>
        <w:t>$</w:t>
      </w:r>
      <w:r>
        <w:rPr>
          <w:rFonts w:ascii="Arial" w:hAnsi="Arial" w:cs="Arial"/>
          <w:lang w:val="en-US"/>
        </w:rPr>
        <w:t>82.9</w:t>
      </w:r>
      <w:r w:rsidRPr="008C05D5">
        <w:rPr>
          <w:rFonts w:ascii="Arial" w:hAnsi="Arial" w:cs="Arial"/>
          <w:lang w:val="en-US"/>
        </w:rPr>
        <w:t xml:space="preserve"> million to $</w:t>
      </w:r>
      <w:r>
        <w:rPr>
          <w:rFonts w:ascii="Arial" w:hAnsi="Arial" w:cs="Arial"/>
          <w:lang w:val="en-US"/>
        </w:rPr>
        <w:t xml:space="preserve">769.6 </w:t>
      </w:r>
      <w:r w:rsidRPr="008C05D5">
        <w:rPr>
          <w:rFonts w:ascii="Arial" w:hAnsi="Arial" w:cs="Arial"/>
          <w:lang w:val="en-US"/>
        </w:rPr>
        <w:t>million</w:t>
      </w:r>
      <w:r>
        <w:rPr>
          <w:rFonts w:ascii="Arial" w:hAnsi="Arial" w:cs="Arial"/>
          <w:lang w:val="en-US"/>
        </w:rPr>
        <w:t>, as 2018 represented the first full year that insurance premiums were paid for the Catastrophic Injuries Support (CIS) scheme.</w:t>
      </w:r>
      <w:r w:rsidRPr="008C05D5">
        <w:rPr>
          <w:rFonts w:ascii="Arial" w:hAnsi="Arial" w:cs="Arial"/>
          <w:lang w:val="en-US"/>
        </w:rPr>
        <w:t xml:space="preserve"> </w:t>
      </w:r>
    </w:p>
    <w:p w14:paraId="0FD53C86" w14:textId="77777777" w:rsidR="009A7694" w:rsidRPr="008C05D5" w:rsidRDefault="009A7694" w:rsidP="009A7694">
      <w:pPr>
        <w:pStyle w:val="ListParagraph"/>
        <w:ind w:left="0"/>
        <w:contextualSpacing/>
        <w:rPr>
          <w:rFonts w:ascii="Arial" w:hAnsi="Arial" w:cs="Arial"/>
          <w:lang w:val="en-US"/>
        </w:rPr>
      </w:pPr>
    </w:p>
    <w:p w14:paraId="027F9F8C" w14:textId="77777777" w:rsidR="009A7694" w:rsidRDefault="009A7694" w:rsidP="009A7694">
      <w:pPr>
        <w:pStyle w:val="ListParagraph"/>
        <w:ind w:left="0"/>
        <w:contextualSpacing/>
        <w:rPr>
          <w:rFonts w:ascii="Arial" w:hAnsi="Arial" w:cs="Arial"/>
          <w:lang w:val="en-US"/>
        </w:rPr>
      </w:pPr>
      <w:r>
        <w:rPr>
          <w:rFonts w:ascii="Arial" w:hAnsi="Arial" w:cs="Arial"/>
          <w:lang w:val="en-US"/>
        </w:rPr>
        <w:t xml:space="preserve">Outstanding claims liabilities increased by $251.3 million in 2018 to $2.7 billion, reflecting increases in claims exposure. Claims payments reduced by $68.2 million in 2018 to $404.9 million. This reduction was largely due to </w:t>
      </w:r>
      <w:r w:rsidRPr="009D17DB">
        <w:rPr>
          <w:rFonts w:ascii="Arial" w:hAnsi="Arial" w:cs="Arial"/>
          <w:lang w:val="en-US"/>
        </w:rPr>
        <w:t xml:space="preserve">the number of new </w:t>
      </w:r>
      <w:r>
        <w:rPr>
          <w:rFonts w:ascii="Arial" w:hAnsi="Arial" w:cs="Arial"/>
          <w:lang w:val="en-US"/>
        </w:rPr>
        <w:t>Compulsory Third Party compensation</w:t>
      </w:r>
      <w:r w:rsidRPr="009D17DB">
        <w:rPr>
          <w:rFonts w:ascii="Arial" w:hAnsi="Arial" w:cs="Arial"/>
          <w:lang w:val="en-US"/>
        </w:rPr>
        <w:t xml:space="preserve"> claims received in 2018 </w:t>
      </w:r>
      <w:r w:rsidRPr="00227EC3">
        <w:rPr>
          <w:rFonts w:ascii="Arial" w:hAnsi="Arial" w:cs="Arial"/>
          <w:lang w:val="en-US"/>
        </w:rPr>
        <w:t>being 179 lower</w:t>
      </w:r>
      <w:r w:rsidRPr="009D17DB">
        <w:rPr>
          <w:rFonts w:ascii="Arial" w:hAnsi="Arial" w:cs="Arial"/>
          <w:lang w:val="en-US"/>
        </w:rPr>
        <w:t xml:space="preserve"> than received in 2017</w:t>
      </w:r>
      <w:r>
        <w:rPr>
          <w:rFonts w:ascii="Arial" w:hAnsi="Arial" w:cs="Arial"/>
          <w:lang w:val="en-US"/>
        </w:rPr>
        <w:t>.</w:t>
      </w:r>
    </w:p>
    <w:p w14:paraId="52BBE47D" w14:textId="77777777" w:rsidR="00413666" w:rsidRDefault="00413666" w:rsidP="009A7694">
      <w:pPr>
        <w:pStyle w:val="ListParagraph"/>
        <w:ind w:left="0"/>
        <w:contextualSpacing/>
        <w:rPr>
          <w:rFonts w:ascii="Arial" w:hAnsi="Arial" w:cs="Arial"/>
          <w:lang w:val="en-US"/>
        </w:rPr>
      </w:pPr>
    </w:p>
    <w:p w14:paraId="10772EF1" w14:textId="77777777" w:rsidR="00413666" w:rsidRDefault="00413666" w:rsidP="009A7694">
      <w:pPr>
        <w:pStyle w:val="ListParagraph"/>
        <w:ind w:left="0"/>
        <w:contextualSpacing/>
        <w:rPr>
          <w:rFonts w:ascii="Arial" w:hAnsi="Arial" w:cs="Arial"/>
          <w:lang w:val="en-US"/>
        </w:rPr>
      </w:pPr>
    </w:p>
    <w:p w14:paraId="47509AF5" w14:textId="77777777" w:rsidR="00413666" w:rsidRDefault="00413666" w:rsidP="009A7694">
      <w:pPr>
        <w:pStyle w:val="ListParagraph"/>
        <w:ind w:left="0"/>
        <w:contextualSpacing/>
        <w:rPr>
          <w:rFonts w:ascii="Arial" w:hAnsi="Arial" w:cs="Arial"/>
          <w:lang w:val="en-US"/>
        </w:rPr>
      </w:pPr>
    </w:p>
    <w:p w14:paraId="7A5586D0" w14:textId="77777777" w:rsidR="00413666" w:rsidRDefault="00413666" w:rsidP="009A7694">
      <w:pPr>
        <w:pStyle w:val="ListParagraph"/>
        <w:ind w:left="0"/>
        <w:contextualSpacing/>
        <w:rPr>
          <w:rFonts w:ascii="Arial" w:hAnsi="Arial" w:cs="Arial"/>
          <w:lang w:val="en-US"/>
        </w:rPr>
      </w:pPr>
    </w:p>
    <w:p w14:paraId="3E21C349" w14:textId="77777777" w:rsidR="00413666" w:rsidRDefault="00413666" w:rsidP="009A7694">
      <w:pPr>
        <w:pStyle w:val="ListParagraph"/>
        <w:ind w:left="0"/>
        <w:contextualSpacing/>
        <w:rPr>
          <w:rFonts w:ascii="Arial" w:hAnsi="Arial" w:cs="Arial"/>
          <w:lang w:val="en-US"/>
        </w:rPr>
      </w:pPr>
    </w:p>
    <w:p w14:paraId="304DACC0" w14:textId="77777777" w:rsidR="00413666" w:rsidRDefault="00413666" w:rsidP="009A7694">
      <w:pPr>
        <w:pStyle w:val="ListParagraph"/>
        <w:ind w:left="0"/>
        <w:contextualSpacing/>
        <w:rPr>
          <w:rFonts w:ascii="Arial" w:hAnsi="Arial" w:cs="Arial"/>
          <w:lang w:val="en-US"/>
        </w:rPr>
      </w:pPr>
    </w:p>
    <w:p w14:paraId="2EE90470" w14:textId="77777777" w:rsidR="00413666" w:rsidRDefault="00413666" w:rsidP="009A7694">
      <w:pPr>
        <w:pStyle w:val="ListParagraph"/>
        <w:ind w:left="0"/>
        <w:contextualSpacing/>
        <w:rPr>
          <w:rFonts w:ascii="Arial" w:hAnsi="Arial" w:cs="Arial"/>
          <w:lang w:val="en-US"/>
        </w:rPr>
      </w:pPr>
    </w:p>
    <w:p w14:paraId="3C5C097D" w14:textId="77777777" w:rsidR="00413666" w:rsidRDefault="00413666" w:rsidP="009A7694">
      <w:pPr>
        <w:pStyle w:val="ListParagraph"/>
        <w:ind w:left="0"/>
        <w:contextualSpacing/>
        <w:rPr>
          <w:rFonts w:ascii="Arial" w:hAnsi="Arial" w:cs="Arial"/>
          <w:lang w:val="en-US"/>
        </w:rPr>
      </w:pPr>
    </w:p>
    <w:p w14:paraId="31E4E138" w14:textId="77777777" w:rsidR="00413666" w:rsidRDefault="00413666" w:rsidP="009A7694">
      <w:pPr>
        <w:pStyle w:val="ListParagraph"/>
        <w:ind w:left="0"/>
        <w:contextualSpacing/>
        <w:rPr>
          <w:rFonts w:ascii="Arial" w:hAnsi="Arial" w:cs="Arial"/>
          <w:lang w:val="en-US"/>
        </w:rPr>
      </w:pPr>
    </w:p>
    <w:p w14:paraId="34A0EEE5" w14:textId="77777777" w:rsidR="00413666" w:rsidRDefault="00413666" w:rsidP="009A7694">
      <w:pPr>
        <w:pStyle w:val="ListParagraph"/>
        <w:ind w:left="0"/>
        <w:contextualSpacing/>
        <w:rPr>
          <w:rFonts w:ascii="Arial" w:hAnsi="Arial" w:cs="Arial"/>
          <w:lang w:val="en-US"/>
        </w:rPr>
      </w:pPr>
    </w:p>
    <w:p w14:paraId="1CF9A0F5" w14:textId="77777777" w:rsidR="00413666" w:rsidRDefault="00413666" w:rsidP="009A7694">
      <w:pPr>
        <w:pStyle w:val="ListParagraph"/>
        <w:ind w:left="0"/>
        <w:contextualSpacing/>
        <w:rPr>
          <w:rFonts w:ascii="Arial" w:hAnsi="Arial" w:cs="Arial"/>
          <w:lang w:val="en-US"/>
        </w:rPr>
      </w:pPr>
    </w:p>
    <w:p w14:paraId="2FA0A1B5" w14:textId="77777777" w:rsidR="00413666" w:rsidRDefault="00413666" w:rsidP="009A7694">
      <w:pPr>
        <w:pStyle w:val="ListParagraph"/>
        <w:ind w:left="0"/>
        <w:contextualSpacing/>
        <w:rPr>
          <w:rFonts w:ascii="Arial" w:hAnsi="Arial" w:cs="Arial"/>
          <w:lang w:val="en-US"/>
        </w:rPr>
      </w:pPr>
    </w:p>
    <w:p w14:paraId="40687A44" w14:textId="77777777" w:rsidR="00413666" w:rsidRDefault="00413666" w:rsidP="009A7694">
      <w:pPr>
        <w:pStyle w:val="ListParagraph"/>
        <w:ind w:left="0"/>
        <w:contextualSpacing/>
        <w:rPr>
          <w:rFonts w:ascii="Arial" w:hAnsi="Arial" w:cs="Arial"/>
          <w:lang w:val="en-US"/>
        </w:rPr>
      </w:pPr>
    </w:p>
    <w:p w14:paraId="0327508F" w14:textId="77777777" w:rsidR="00413666" w:rsidRDefault="00413666" w:rsidP="009A7694">
      <w:pPr>
        <w:pStyle w:val="ListParagraph"/>
        <w:ind w:left="0"/>
        <w:contextualSpacing/>
        <w:rPr>
          <w:rFonts w:ascii="Arial" w:hAnsi="Arial" w:cs="Arial"/>
          <w:lang w:val="en-US"/>
        </w:rPr>
      </w:pPr>
    </w:p>
    <w:p w14:paraId="164A26DD" w14:textId="77777777" w:rsidR="00413666" w:rsidRDefault="00413666" w:rsidP="009A7694">
      <w:pPr>
        <w:pStyle w:val="ListParagraph"/>
        <w:ind w:left="0"/>
        <w:contextualSpacing/>
        <w:rPr>
          <w:rFonts w:ascii="Arial" w:hAnsi="Arial" w:cs="Arial"/>
          <w:lang w:val="en-US"/>
        </w:rPr>
      </w:pPr>
    </w:p>
    <w:p w14:paraId="35C1A682" w14:textId="77777777" w:rsidR="00413666" w:rsidRDefault="00413666" w:rsidP="009A7694">
      <w:pPr>
        <w:pStyle w:val="ListParagraph"/>
        <w:ind w:left="0"/>
        <w:contextualSpacing/>
        <w:rPr>
          <w:rFonts w:ascii="Arial" w:hAnsi="Arial" w:cs="Arial"/>
          <w:lang w:val="en-US"/>
        </w:rPr>
      </w:pPr>
    </w:p>
    <w:p w14:paraId="611D98E0" w14:textId="477EA670" w:rsidR="00413666" w:rsidRDefault="00413666" w:rsidP="00413666">
      <w:pPr>
        <w:pStyle w:val="ARHeading3"/>
        <w:rPr>
          <w:lang w:val="en-US"/>
        </w:rPr>
      </w:pPr>
      <w:r>
        <w:rPr>
          <w:lang w:val="en-US"/>
        </w:rPr>
        <w:lastRenderedPageBreak/>
        <w:t>3.1.1</w:t>
      </w:r>
      <w:r>
        <w:rPr>
          <w:lang w:val="en-US"/>
        </w:rPr>
        <w:tab/>
        <w:t>Insurance Commission</w:t>
      </w:r>
    </w:p>
    <w:p w14:paraId="60C3E117" w14:textId="77777777" w:rsidR="00413666" w:rsidRDefault="00413666" w:rsidP="00413666">
      <w:pPr>
        <w:pStyle w:val="ARHeading3"/>
        <w:rPr>
          <w:lang w:val="en-US"/>
        </w:rPr>
      </w:pPr>
    </w:p>
    <w:p w14:paraId="559F175B" w14:textId="252BA2EE" w:rsidR="00413666" w:rsidRDefault="00413666" w:rsidP="00413666">
      <w:pPr>
        <w:rPr>
          <w:rStyle w:val="Arial12pt0"/>
        </w:rPr>
      </w:pPr>
      <w:r>
        <w:rPr>
          <w:rStyle w:val="Arial12pt0"/>
        </w:rPr>
        <w:t xml:space="preserve">The </w:t>
      </w:r>
      <w:r w:rsidR="00C61D04">
        <w:rPr>
          <w:rStyle w:val="Arial12pt0"/>
        </w:rPr>
        <w:t>Office of the Auditor General audits the Insurance Commission’s key performance indicators (KPIs) annually. Other important indicators providing a broader perspective of the Insurance Commission’s performance are also included in this report.</w:t>
      </w:r>
    </w:p>
    <w:p w14:paraId="7F66C8A0" w14:textId="77777777" w:rsidR="00C61D04" w:rsidRDefault="00C61D04" w:rsidP="00413666">
      <w:pPr>
        <w:rPr>
          <w:rStyle w:val="Arial12pt0"/>
        </w:rPr>
      </w:pPr>
    </w:p>
    <w:p w14:paraId="1616413B" w14:textId="6ED133D2" w:rsidR="00C61D04" w:rsidRDefault="00C61D04" w:rsidP="00413666">
      <w:pPr>
        <w:rPr>
          <w:rStyle w:val="Arial12pt0"/>
        </w:rPr>
      </w:pPr>
      <w:r>
        <w:rPr>
          <w:rStyle w:val="Arial12pt0"/>
        </w:rPr>
        <w:t>The Insurance Commission has a combination of effectiveness and efficiency KPIs to measure its performance against the following outcome.</w:t>
      </w:r>
    </w:p>
    <w:p w14:paraId="6ABDF2C0" w14:textId="77777777" w:rsidR="00C61D04" w:rsidRDefault="00C61D04" w:rsidP="00413666">
      <w:pPr>
        <w:rPr>
          <w:rStyle w:val="Arial12pt0"/>
        </w:rPr>
      </w:pPr>
    </w:p>
    <w:p w14:paraId="54C7CBF8" w14:textId="77777777" w:rsidR="00C61D04" w:rsidRDefault="00C61D04" w:rsidP="00413666">
      <w:pPr>
        <w:rPr>
          <w:rStyle w:val="Arial12pt0"/>
          <w:b/>
        </w:rPr>
      </w:pPr>
      <w:r w:rsidRPr="00C61D04">
        <w:rPr>
          <w:rStyle w:val="Arial12pt0"/>
          <w:b/>
        </w:rPr>
        <w:t xml:space="preserve">Outcome A - That the Insurance Commission has sufficient financial resources to </w:t>
      </w:r>
      <w:r>
        <w:rPr>
          <w:rStyle w:val="Arial12pt0"/>
          <w:b/>
        </w:rPr>
        <w:t>be able to meet its commitments.</w:t>
      </w:r>
    </w:p>
    <w:p w14:paraId="193FDB75" w14:textId="77777777" w:rsidR="00C61D04" w:rsidRDefault="00C61D04" w:rsidP="00413666">
      <w:pPr>
        <w:rPr>
          <w:rStyle w:val="Arial12pt0"/>
          <w:b/>
        </w:rPr>
      </w:pPr>
    </w:p>
    <w:p w14:paraId="41D2D013" w14:textId="472A5B83" w:rsidR="00C61D04" w:rsidRDefault="00C61D04" w:rsidP="00413666">
      <w:pPr>
        <w:rPr>
          <w:rStyle w:val="Arial12pt0"/>
          <w:b/>
        </w:rPr>
      </w:pPr>
      <w:r>
        <w:rPr>
          <w:rStyle w:val="Arial12pt0"/>
          <w:b/>
        </w:rPr>
        <w:t>Effectiveness Performance Indicators</w:t>
      </w:r>
    </w:p>
    <w:p w14:paraId="4F854810" w14:textId="77777777" w:rsidR="00C61D04" w:rsidRDefault="00C61D04" w:rsidP="00413666">
      <w:pPr>
        <w:rPr>
          <w:rStyle w:val="Arial12pt0"/>
          <w:b/>
        </w:rPr>
      </w:pPr>
    </w:p>
    <w:p w14:paraId="3F05984A" w14:textId="54B037B5" w:rsidR="00C61D04" w:rsidRDefault="00C61D04" w:rsidP="00413666">
      <w:pPr>
        <w:rPr>
          <w:rStyle w:val="Arial12pt0"/>
          <w:b/>
        </w:rPr>
      </w:pPr>
      <w:r>
        <w:rPr>
          <w:rStyle w:val="Arial12pt0"/>
          <w:b/>
        </w:rPr>
        <w:t>Investment Rolling 7-Year Return (%)</w:t>
      </w:r>
    </w:p>
    <w:p w14:paraId="2A35DFF5" w14:textId="7942A85A" w:rsidR="00C61D04" w:rsidRDefault="00C61D04" w:rsidP="00C61D04">
      <w:pPr>
        <w:rPr>
          <w:rStyle w:val="Arial12pt0"/>
        </w:rPr>
      </w:pPr>
      <w:r w:rsidRPr="00C61D04">
        <w:rPr>
          <w:rStyle w:val="Arial12pt0"/>
        </w:rPr>
        <w:t>This KPI calculates the long-term investment performance, measured over a rolling 7-year period as a percentage (on a per annum basis) of the amount of money invested. This KPI measures whether investment returns have achieved the Board's long-term Consumer Price Index (CPI) plus 3.5% investment objective (Main Fund) and CPI plus 3.25% (MVCIF).</w:t>
      </w:r>
    </w:p>
    <w:p w14:paraId="2A3E2AA4" w14:textId="3FA1F716" w:rsidR="00C61D04" w:rsidRPr="00C61D04" w:rsidRDefault="00C61D04" w:rsidP="00C61D04">
      <w:pPr>
        <w:rPr>
          <w:rStyle w:val="Arial12pt0"/>
        </w:rPr>
      </w:pPr>
      <w:r>
        <w:rPr>
          <w:noProof/>
          <w:lang w:eastAsia="en-AU"/>
        </w:rPr>
        <w:drawing>
          <wp:inline distT="0" distB="0" distL="0" distR="0" wp14:anchorId="4390D511" wp14:editId="4EA77DE2">
            <wp:extent cx="5731510" cy="31686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p>
    <w:p w14:paraId="2DF6ACCC" w14:textId="2A6669C8" w:rsidR="00C61D04" w:rsidRPr="00C61D04" w:rsidRDefault="00C61D04" w:rsidP="00C61D04">
      <w:pPr>
        <w:rPr>
          <w:rStyle w:val="Arial12pt0"/>
          <w:b/>
        </w:rPr>
      </w:pPr>
      <w:r w:rsidRPr="00C61D04">
        <w:rPr>
          <w:rStyle w:val="Arial12pt0"/>
          <w:b/>
        </w:rPr>
        <w:t>Comment:</w:t>
      </w:r>
      <w:r>
        <w:rPr>
          <w:rStyle w:val="Arial12pt0"/>
        </w:rPr>
        <w:t xml:space="preserve"> </w:t>
      </w:r>
      <w:r w:rsidRPr="00C61D04">
        <w:rPr>
          <w:rStyle w:val="Arial12pt0"/>
        </w:rPr>
        <w:t>The investment rolling 7-year return was 8.4%, above the target estimate of 5.5% and above the actual CPI +3.5% outcome of 5.6%.</w:t>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p>
    <w:p w14:paraId="77D49EC0" w14:textId="4695EF63" w:rsidR="00C61D04" w:rsidRDefault="00C61D04" w:rsidP="00C61D04">
      <w:pPr>
        <w:rPr>
          <w:rStyle w:val="Arial12pt0"/>
          <w:b/>
        </w:rPr>
      </w:pPr>
      <w:r>
        <w:rPr>
          <w:rStyle w:val="Arial12pt0"/>
          <w:b/>
        </w:rPr>
        <w:t>Annual Investment Rate of Return (%)</w:t>
      </w:r>
    </w:p>
    <w:p w14:paraId="224A1659" w14:textId="20869E17" w:rsidR="00C61D04" w:rsidRPr="00C61D04" w:rsidRDefault="00C61D04" w:rsidP="00C61D04">
      <w:pPr>
        <w:rPr>
          <w:rStyle w:val="Arial12pt0"/>
        </w:rPr>
      </w:pPr>
      <w:r w:rsidRPr="00C61D04">
        <w:rPr>
          <w:rStyle w:val="Arial12pt0"/>
        </w:rPr>
        <w:t>This KPI calculates the amount of revenue</w:t>
      </w:r>
      <w:proofErr w:type="gramStart"/>
      <w:r w:rsidRPr="00C61D04">
        <w:rPr>
          <w:rStyle w:val="Arial12pt0"/>
        </w:rPr>
        <w:t>/(</w:t>
      </w:r>
      <w:proofErr w:type="gramEnd"/>
      <w:r w:rsidRPr="00C61D04">
        <w:rPr>
          <w:rStyle w:val="Arial12pt0"/>
        </w:rPr>
        <w:t>loss) the Insurance Commission’s investment strategy generates over the financial year as a percentage of the value of the opening investment assets. This KPI measures the Insurance Commission’s performance compared to a specific market-related benchmark. The benchmark is a mix of Australian and global equities, fixed interest, alternative assets</w:t>
      </w:r>
      <w:r>
        <w:rPr>
          <w:rStyle w:val="Arial12pt0"/>
        </w:rPr>
        <w:t xml:space="preserve"> and property indices.</w:t>
      </w:r>
      <w:r>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lastRenderedPageBreak/>
        <w:tab/>
      </w:r>
      <w:r>
        <w:rPr>
          <w:noProof/>
          <w:lang w:eastAsia="en-AU"/>
        </w:rPr>
        <w:drawing>
          <wp:inline distT="0" distB="0" distL="0" distR="0" wp14:anchorId="3BFF899A" wp14:editId="1FA68146">
            <wp:extent cx="5731510" cy="31686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p>
    <w:p w14:paraId="0755F904" w14:textId="2448005D" w:rsidR="00C61D04" w:rsidRDefault="00C61D04" w:rsidP="00C61D04">
      <w:pPr>
        <w:rPr>
          <w:rStyle w:val="Arial12pt0"/>
          <w:b/>
        </w:rPr>
      </w:pPr>
      <w:r w:rsidRPr="00C61D04">
        <w:rPr>
          <w:rStyle w:val="Arial12pt0"/>
          <w:b/>
        </w:rPr>
        <w:t>Comment:</w:t>
      </w:r>
      <w:r>
        <w:rPr>
          <w:rStyle w:val="Arial12pt0"/>
        </w:rPr>
        <w:t xml:space="preserve"> </w:t>
      </w:r>
      <w:r w:rsidRPr="00C61D04">
        <w:rPr>
          <w:rStyle w:val="Arial12pt0"/>
        </w:rPr>
        <w:t>The Insurance Commission annual investment rate of return for 2018 of 9.1% was above the target of 6.2% predominantly due to double-digit returns in Australian Equities (15.4%), Global Equities (13.6%), Property (14.7%) and strong returns in Alternative Assets (7%) and Fixed Interest (3.5%) which were all ahead of budget. The Cash (2.2%) return was below budget.</w:t>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r w:rsidRPr="00C61D04">
        <w:rPr>
          <w:rStyle w:val="Arial12pt0"/>
          <w:b/>
        </w:rPr>
        <w:tab/>
      </w:r>
    </w:p>
    <w:p w14:paraId="7131A97C" w14:textId="0D418A39" w:rsidR="00C61D04" w:rsidRDefault="00C61D04" w:rsidP="00413666">
      <w:pPr>
        <w:rPr>
          <w:rStyle w:val="Arial12pt0"/>
          <w:b/>
        </w:rPr>
      </w:pPr>
      <w:r>
        <w:rPr>
          <w:rStyle w:val="Arial12pt0"/>
          <w:b/>
        </w:rPr>
        <w:t>Solvency Level (%)</w:t>
      </w:r>
    </w:p>
    <w:p w14:paraId="16FD545D" w14:textId="72D827BB" w:rsidR="00C61D04" w:rsidRPr="00C61D04" w:rsidRDefault="00C61D04" w:rsidP="00C61D04">
      <w:pPr>
        <w:rPr>
          <w:rStyle w:val="Arial12pt0"/>
        </w:rPr>
      </w:pPr>
      <w:r w:rsidRPr="00C61D04">
        <w:rPr>
          <w:rStyle w:val="Arial12pt0"/>
        </w:rPr>
        <w:t xml:space="preserve">This KPI calculates Total Assets as a percentage of Total Liabilities for the Insurance Commission. This KPI measures the ability of the Insurance Commission to meet its long-term financial obligations as they fall due. </w:t>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Pr>
          <w:noProof/>
          <w:lang w:eastAsia="en-AU"/>
        </w:rPr>
        <w:drawing>
          <wp:inline distT="0" distB="0" distL="0" distR="0" wp14:anchorId="69792B70" wp14:editId="53B320E3">
            <wp:extent cx="5731510" cy="317754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61D04">
        <w:rPr>
          <w:rStyle w:val="Arial12pt0"/>
        </w:rPr>
        <w:tab/>
      </w:r>
      <w:r w:rsidRPr="00C61D04">
        <w:rPr>
          <w:rStyle w:val="Arial12pt0"/>
        </w:rPr>
        <w:tab/>
      </w:r>
      <w:r w:rsidRPr="00C61D04">
        <w:rPr>
          <w:rStyle w:val="Arial12pt0"/>
        </w:rPr>
        <w:tab/>
      </w:r>
    </w:p>
    <w:p w14:paraId="723A7E90" w14:textId="2ACDD553" w:rsidR="00C61D04" w:rsidRPr="00C61D04" w:rsidRDefault="00C61D04" w:rsidP="00C61D04">
      <w:pPr>
        <w:rPr>
          <w:rStyle w:val="Arial12pt0"/>
        </w:rPr>
      </w:pPr>
      <w:r w:rsidRPr="00C61D04">
        <w:rPr>
          <w:rStyle w:val="Arial12pt0"/>
        </w:rPr>
        <w:lastRenderedPageBreak/>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r w:rsidRPr="00C61D04">
        <w:rPr>
          <w:rStyle w:val="Arial12pt0"/>
        </w:rPr>
        <w:tab/>
      </w:r>
    </w:p>
    <w:p w14:paraId="42B16427" w14:textId="77777777" w:rsidR="005D5854" w:rsidRDefault="00C61D04" w:rsidP="00C61D04">
      <w:pPr>
        <w:rPr>
          <w:rStyle w:val="Arial12pt0"/>
        </w:rPr>
      </w:pPr>
      <w:r w:rsidRPr="00C61D04">
        <w:rPr>
          <w:rStyle w:val="Arial12pt0"/>
          <w:b/>
        </w:rPr>
        <w:t>Comment:</w:t>
      </w:r>
      <w:r>
        <w:rPr>
          <w:rStyle w:val="Arial12pt0"/>
        </w:rPr>
        <w:t xml:space="preserve"> </w:t>
      </w:r>
      <w:r w:rsidR="005D5854" w:rsidRPr="005D5854">
        <w:rPr>
          <w:rStyle w:val="Arial12pt0"/>
        </w:rPr>
        <w:t>The solvency level of 130.7% is close to the target of 130.9% for the financial year.</w:t>
      </w:r>
    </w:p>
    <w:p w14:paraId="24D5A9A1" w14:textId="77777777" w:rsidR="005D5854" w:rsidRDefault="005D5854" w:rsidP="00C61D04">
      <w:pPr>
        <w:rPr>
          <w:rStyle w:val="Arial12pt0"/>
        </w:rPr>
      </w:pPr>
    </w:p>
    <w:p w14:paraId="30F21BD1" w14:textId="77777777" w:rsidR="005D5854" w:rsidRDefault="005D5854" w:rsidP="00C61D04">
      <w:pPr>
        <w:rPr>
          <w:rStyle w:val="Arial12pt0"/>
          <w:b/>
        </w:rPr>
      </w:pPr>
      <w:r w:rsidRPr="005D5854">
        <w:rPr>
          <w:rStyle w:val="Arial12pt0"/>
          <w:b/>
        </w:rPr>
        <w:t>Return on Total Assets (%)</w:t>
      </w:r>
    </w:p>
    <w:p w14:paraId="447E6D73" w14:textId="77777777" w:rsidR="005D5854" w:rsidRDefault="005D5854" w:rsidP="005D5854">
      <w:pPr>
        <w:rPr>
          <w:rStyle w:val="Arial12pt0"/>
        </w:rPr>
      </w:pPr>
      <w:r w:rsidRPr="005D5854">
        <w:rPr>
          <w:rStyle w:val="Arial12pt0"/>
        </w:rPr>
        <w:t>This KPI is calculated as the Insurance Commission's profit</w:t>
      </w:r>
      <w:proofErr w:type="gramStart"/>
      <w:r w:rsidRPr="005D5854">
        <w:rPr>
          <w:rStyle w:val="Arial12pt0"/>
        </w:rPr>
        <w:t>/(</w:t>
      </w:r>
      <w:proofErr w:type="gramEnd"/>
      <w:r w:rsidRPr="005D5854">
        <w:rPr>
          <w:rStyle w:val="Arial12pt0"/>
        </w:rPr>
        <w:t>loss) before income tax (expense)/benefit divided by its total assets (sum of total assets at start of financial year and end of financial year divided by 2) and is expressed as a percentage. This KPI measures how well the Insurance Commission is using its assets to produce income.</w:t>
      </w:r>
    </w:p>
    <w:p w14:paraId="752F4B9F" w14:textId="58C1BD05" w:rsidR="005D5854" w:rsidRPr="005D5854" w:rsidRDefault="005D5854" w:rsidP="005D5854">
      <w:pPr>
        <w:rPr>
          <w:rStyle w:val="Arial12pt0"/>
        </w:rPr>
      </w:pPr>
      <w:r>
        <w:rPr>
          <w:noProof/>
          <w:lang w:eastAsia="en-AU"/>
        </w:rPr>
        <w:drawing>
          <wp:inline distT="0" distB="0" distL="0" distR="0" wp14:anchorId="1B7D50F8" wp14:editId="3DE2AD1F">
            <wp:extent cx="5731510" cy="313753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D5854">
        <w:rPr>
          <w:rStyle w:val="Arial12pt0"/>
        </w:rPr>
        <w:tab/>
      </w:r>
      <w:r w:rsidRPr="005D5854">
        <w:rPr>
          <w:rStyle w:val="Arial12pt0"/>
        </w:rPr>
        <w:tab/>
      </w:r>
      <w:r w:rsidRPr="005D5854">
        <w:rPr>
          <w:rStyle w:val="Arial12pt0"/>
        </w:rPr>
        <w:tab/>
      </w:r>
      <w:r w:rsidRPr="005D5854">
        <w:rPr>
          <w:rStyle w:val="Arial12pt0"/>
        </w:rPr>
        <w:tab/>
      </w:r>
      <w:r w:rsidRPr="005D5854">
        <w:rPr>
          <w:rStyle w:val="Arial12pt0"/>
        </w:rPr>
        <w:tab/>
      </w:r>
      <w:r w:rsidRPr="005D5854">
        <w:rPr>
          <w:rStyle w:val="Arial12pt0"/>
        </w:rPr>
        <w:tab/>
      </w:r>
      <w:r w:rsidRPr="005D5854">
        <w:rPr>
          <w:rStyle w:val="Arial12pt0"/>
        </w:rPr>
        <w:tab/>
      </w:r>
      <w:r w:rsidRPr="005D5854">
        <w:rPr>
          <w:rStyle w:val="Arial12pt0"/>
        </w:rPr>
        <w:tab/>
      </w:r>
      <w:r w:rsidRPr="005D5854">
        <w:rPr>
          <w:rStyle w:val="Arial12pt0"/>
        </w:rPr>
        <w:tab/>
      </w:r>
    </w:p>
    <w:p w14:paraId="62B5B6CD" w14:textId="45AF4504" w:rsidR="005D5854" w:rsidRDefault="005D5854" w:rsidP="005D5854">
      <w:pPr>
        <w:rPr>
          <w:rStyle w:val="Arial12pt0"/>
        </w:rPr>
      </w:pPr>
      <w:r w:rsidRPr="00C61D04">
        <w:rPr>
          <w:rStyle w:val="Arial12pt0"/>
          <w:b/>
        </w:rPr>
        <w:t>Comment:</w:t>
      </w:r>
      <w:r>
        <w:rPr>
          <w:rStyle w:val="Arial12pt0"/>
        </w:rPr>
        <w:t xml:space="preserve"> </w:t>
      </w:r>
      <w:r w:rsidRPr="005D5854">
        <w:rPr>
          <w:rStyle w:val="Arial12pt0"/>
        </w:rPr>
        <w:t>The profit before income tax of $382.7 million was well above the target profit of $228.7 million. Average total assets increased by $468.1 million (9.5%) since 2017, predominantly due to a significant increase in investment assets through strong investment returns.</w:t>
      </w:r>
    </w:p>
    <w:p w14:paraId="327503E8" w14:textId="77777777" w:rsidR="005D5854" w:rsidRPr="005D5854" w:rsidRDefault="005D5854" w:rsidP="005D5854">
      <w:pPr>
        <w:rPr>
          <w:rStyle w:val="Arial12pt0"/>
          <w:b/>
        </w:rPr>
      </w:pP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p>
    <w:p w14:paraId="4E23998C" w14:textId="601C8D5D" w:rsidR="005D5854" w:rsidRPr="005D5854" w:rsidRDefault="005D5854" w:rsidP="005D5854">
      <w:pPr>
        <w:rPr>
          <w:rStyle w:val="Arial12pt0"/>
          <w:b/>
        </w:rPr>
      </w:pPr>
      <w:r>
        <w:rPr>
          <w:rStyle w:val="Arial12pt0"/>
          <w:b/>
        </w:rPr>
        <w:t>Efficiency Performance Indicators</w:t>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p>
    <w:p w14:paraId="05A53FEF" w14:textId="77777777" w:rsidR="005D5854" w:rsidRDefault="005D5854" w:rsidP="005D5854">
      <w:pPr>
        <w:rPr>
          <w:rStyle w:val="Arial12pt0"/>
          <w:b/>
        </w:rPr>
      </w:pPr>
      <w:r>
        <w:rPr>
          <w:rStyle w:val="Arial12pt0"/>
          <w:b/>
        </w:rPr>
        <w:t>Net Loss Ratio (%)</w:t>
      </w:r>
    </w:p>
    <w:p w14:paraId="52661CF7" w14:textId="77777777" w:rsidR="005D5854" w:rsidRDefault="005D5854" w:rsidP="005D5854">
      <w:pPr>
        <w:rPr>
          <w:rStyle w:val="Arial12pt0"/>
        </w:rPr>
      </w:pPr>
      <w:r w:rsidRPr="005D5854">
        <w:rPr>
          <w:rStyle w:val="Arial12pt0"/>
        </w:rPr>
        <w:t>This KPI calculates net claims incurred (claims payments and movements in outstanding claims provision) as a percentage of net premium revenue. This KPI measures the sufficiency of premium revenue compared to the cost of claims incurred.  A ratio below 100% indicates the Insurance Commission received sufficient net premium revenue to meet the net cost of claims incurred. A ratio greater than 100% indicates net premium revenue was insufficient to meet the net cost of claims incurred.</w:t>
      </w:r>
    </w:p>
    <w:p w14:paraId="6F68E9D8" w14:textId="77777777" w:rsidR="002065F8" w:rsidRDefault="002065F8" w:rsidP="005D5854">
      <w:pPr>
        <w:rPr>
          <w:rStyle w:val="Arial12pt0"/>
        </w:rPr>
      </w:pPr>
      <w:r>
        <w:rPr>
          <w:noProof/>
          <w:lang w:eastAsia="en-AU"/>
        </w:rPr>
        <w:lastRenderedPageBreak/>
        <mc:AlternateContent>
          <mc:Choice Requires="wps">
            <w:drawing>
              <wp:anchor distT="0" distB="0" distL="114300" distR="114300" simplePos="0" relativeHeight="251663360" behindDoc="0" locked="0" layoutInCell="1" allowOverlap="1" wp14:anchorId="147EA6A2" wp14:editId="0D954AE1">
                <wp:simplePos x="0" y="0"/>
                <wp:positionH relativeFrom="column">
                  <wp:posOffset>869950</wp:posOffset>
                </wp:positionH>
                <wp:positionV relativeFrom="paragraph">
                  <wp:posOffset>1536555</wp:posOffset>
                </wp:positionV>
                <wp:extent cx="4653023" cy="0"/>
                <wp:effectExtent l="0" t="0" r="33655" b="19050"/>
                <wp:wrapNone/>
                <wp:docPr id="24" name="Straight Connector 17"/>
                <wp:cNvGraphicFramePr/>
                <a:graphic xmlns:a="http://schemas.openxmlformats.org/drawingml/2006/main">
                  <a:graphicData uri="http://schemas.microsoft.com/office/word/2010/wordprocessingShape">
                    <wps:wsp>
                      <wps:cNvCnPr/>
                      <wps:spPr bwMode="auto">
                        <a:xfrm flipV="1">
                          <a:off x="0" y="0"/>
                          <a:ext cx="4653023"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62D75BCB" id="Straight Connector 17"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121pt" to="434.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" filled="t" fillcolor="#ff9" strokecolor="#c59f15" strokeweight="2pt"/>
            </w:pict>
          </mc:Fallback>
        </mc:AlternateContent>
      </w:r>
      <w:r w:rsidR="005D5854">
        <w:rPr>
          <w:noProof/>
          <w:lang w:eastAsia="en-AU"/>
        </w:rPr>
        <mc:AlternateContent>
          <mc:Choice Requires="wps">
            <w:drawing>
              <wp:anchor distT="0" distB="0" distL="114300" distR="114300" simplePos="0" relativeHeight="251661312" behindDoc="0" locked="0" layoutInCell="1" allowOverlap="1" wp14:anchorId="7228E7AE" wp14:editId="65A969B9">
                <wp:simplePos x="0" y="0"/>
                <wp:positionH relativeFrom="column">
                  <wp:posOffset>868101</wp:posOffset>
                </wp:positionH>
                <wp:positionV relativeFrom="paragraph">
                  <wp:posOffset>668276</wp:posOffset>
                </wp:positionV>
                <wp:extent cx="4653023" cy="0"/>
                <wp:effectExtent l="0" t="0" r="33655" b="19050"/>
                <wp:wrapNone/>
                <wp:docPr id="23" name="Straight Connector 17"/>
                <wp:cNvGraphicFramePr/>
                <a:graphic xmlns:a="http://schemas.openxmlformats.org/drawingml/2006/main">
                  <a:graphicData uri="http://schemas.microsoft.com/office/word/2010/wordprocessingShape">
                    <wps:wsp>
                      <wps:cNvCnPr/>
                      <wps:spPr bwMode="auto">
                        <a:xfrm flipV="1">
                          <a:off x="0" y="0"/>
                          <a:ext cx="4653023"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2CCEB0EE" id="Straight Connector 17"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35pt,52.6pt" to="434.7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" filled="t" fillcolor="#ff9" strokecolor="#c59f15" strokeweight="2pt"/>
            </w:pict>
          </mc:Fallback>
        </mc:AlternateContent>
      </w:r>
      <w:r w:rsidR="005D5854">
        <w:rPr>
          <w:noProof/>
          <w:lang w:eastAsia="en-AU"/>
        </w:rPr>
        <w:drawing>
          <wp:inline distT="0" distB="0" distL="0" distR="0" wp14:anchorId="5D52FC39" wp14:editId="323DD0E4">
            <wp:extent cx="5731510" cy="317754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D5854" w:rsidRPr="005D5854">
        <w:rPr>
          <w:rStyle w:val="Arial12pt0"/>
        </w:rPr>
        <w:t xml:space="preserve">  </w:t>
      </w:r>
      <w:r w:rsidR="005D5854">
        <w:rPr>
          <w:rStyle w:val="Arial12pt0"/>
          <w:b/>
        </w:rPr>
        <w:t>Comment:</w:t>
      </w:r>
      <w:r w:rsidR="005D5854">
        <w:rPr>
          <w:rStyle w:val="Arial12pt0"/>
        </w:rPr>
        <w:t xml:space="preserve"> </w:t>
      </w:r>
      <w:r w:rsidR="005D5854" w:rsidRPr="005D5854">
        <w:rPr>
          <w:rStyle w:val="Arial12pt0"/>
        </w:rPr>
        <w:t>The result of 85.7% is better than target, resulting from lower net claims incurred of $22.5 million (3.3%) offset by marginally lower net premium revenue than budget o</w:t>
      </w:r>
      <w:r>
        <w:rPr>
          <w:rStyle w:val="Arial12pt0"/>
        </w:rPr>
        <w:t>f $2.5 million (0.3%).</w:t>
      </w:r>
      <w:r>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tab/>
      </w:r>
      <w:r>
        <w:rPr>
          <w:rStyle w:val="Arial12pt0"/>
        </w:rPr>
        <w:tab/>
      </w:r>
    </w:p>
    <w:p w14:paraId="2651C834" w14:textId="7A9233E2" w:rsidR="005D5854" w:rsidRPr="002065F8" w:rsidRDefault="002065F8" w:rsidP="005D5854">
      <w:pPr>
        <w:rPr>
          <w:rStyle w:val="Arial12pt0"/>
        </w:rPr>
      </w:pPr>
      <w:r>
        <w:rPr>
          <w:rStyle w:val="Arial12pt0"/>
          <w:b/>
        </w:rPr>
        <w:t>Net Expense Ratio (%)</w:t>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p>
    <w:p w14:paraId="5B4FA461" w14:textId="77777777" w:rsidR="002065F8" w:rsidRDefault="002065F8" w:rsidP="002065F8">
      <w:pPr>
        <w:rPr>
          <w:rStyle w:val="Arial12pt0"/>
        </w:rPr>
      </w:pPr>
      <w:r w:rsidRPr="002065F8">
        <w:rPr>
          <w:rStyle w:val="Arial12pt0"/>
        </w:rPr>
        <w:t>This KPI calculates underwriting and administration expenses as a percentage of net premium revenue. This KPI is a measure of operational efficiency. A lower expense ratio would contribute to higher profits or lower losses being generated.</w:t>
      </w:r>
      <w:r w:rsidRPr="002065F8">
        <w:rPr>
          <w:rStyle w:val="Arial12pt0"/>
        </w:rPr>
        <w:tab/>
      </w:r>
      <w:r w:rsidRPr="002065F8">
        <w:rPr>
          <w:rStyle w:val="Arial12pt0"/>
        </w:rPr>
        <w:tab/>
      </w:r>
    </w:p>
    <w:p w14:paraId="3484DD4F" w14:textId="55173D1F" w:rsidR="002065F8" w:rsidRPr="002065F8" w:rsidRDefault="002065F8" w:rsidP="002065F8">
      <w:pPr>
        <w:rPr>
          <w:rStyle w:val="Arial12pt0"/>
        </w:rPr>
      </w:pPr>
      <w:r>
        <w:rPr>
          <w:noProof/>
          <w:lang w:eastAsia="en-AU"/>
        </w:rPr>
        <w:drawing>
          <wp:inline distT="0" distB="0" distL="0" distR="0" wp14:anchorId="55B8AE10" wp14:editId="063E5328">
            <wp:extent cx="5731510" cy="317754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065F8">
        <w:rPr>
          <w:rStyle w:val="Arial12pt0"/>
          <w:b/>
        </w:rPr>
        <w:t>Comment:</w:t>
      </w:r>
      <w:r>
        <w:rPr>
          <w:rStyle w:val="Arial12pt0"/>
        </w:rPr>
        <w:t xml:space="preserve"> </w:t>
      </w:r>
      <w:r w:rsidRPr="002065F8">
        <w:rPr>
          <w:rStyle w:val="Arial12pt0"/>
        </w:rPr>
        <w:t>The net expense ratio of 9.9% is better than the target of 10.3%. This favourable result is driven by underwriting and administration expenses being $3.3 million (4.2%) below budget.</w:t>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p>
    <w:p w14:paraId="7790A9BF" w14:textId="77777777" w:rsidR="002065F8" w:rsidRDefault="002065F8" w:rsidP="002065F8">
      <w:pPr>
        <w:rPr>
          <w:rStyle w:val="Arial12pt0"/>
          <w:b/>
        </w:rPr>
      </w:pP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p>
    <w:p w14:paraId="3D51B892" w14:textId="77777777" w:rsidR="002065F8" w:rsidRDefault="002065F8" w:rsidP="002065F8">
      <w:pPr>
        <w:rPr>
          <w:rStyle w:val="Arial12pt0"/>
          <w:b/>
        </w:rPr>
      </w:pPr>
      <w:r w:rsidRPr="002065F8">
        <w:rPr>
          <w:rStyle w:val="Arial12pt0"/>
          <w:b/>
        </w:rPr>
        <w:t>Net Combined Ratio (%)</w:t>
      </w:r>
    </w:p>
    <w:p w14:paraId="342A32BB" w14:textId="77777777" w:rsidR="002065F8" w:rsidRPr="002065F8" w:rsidRDefault="002065F8" w:rsidP="002065F8">
      <w:pPr>
        <w:rPr>
          <w:rStyle w:val="Arial12pt0"/>
        </w:rPr>
      </w:pPr>
      <w:r w:rsidRPr="002065F8">
        <w:rPr>
          <w:rStyle w:val="Arial12pt0"/>
        </w:rPr>
        <w:lastRenderedPageBreak/>
        <w:t>This KPI calculates underwriting and administration expenses and net claims incurred as a percentage of net premium revenue. This KPI is a measure of underwriting profitability used to indicate how well the Fund is performing. It is the combined result of the Net Loss Ratio and the Net Expense Ratio. A ratio below 100% indicates that an underwriting profit has been made, whereas a ratio above 100% indicates an underwriting loss.</w:t>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p>
    <w:p w14:paraId="51E9002E" w14:textId="5C0EBBB4" w:rsidR="002065F8" w:rsidRPr="002065F8" w:rsidRDefault="002065F8" w:rsidP="002065F8">
      <w:pPr>
        <w:rPr>
          <w:rStyle w:val="Arial12pt0"/>
          <w:b/>
        </w:rPr>
      </w:pPr>
      <w:r>
        <w:rPr>
          <w:noProof/>
          <w:lang w:eastAsia="en-AU"/>
        </w:rPr>
        <mc:AlternateContent>
          <mc:Choice Requires="wps">
            <w:drawing>
              <wp:anchor distT="0" distB="0" distL="114300" distR="114300" simplePos="0" relativeHeight="251665408" behindDoc="0" locked="0" layoutInCell="1" allowOverlap="1" wp14:anchorId="71A523C0" wp14:editId="55A8779E">
                <wp:simplePos x="0" y="0"/>
                <wp:positionH relativeFrom="column">
                  <wp:posOffset>1041722</wp:posOffset>
                </wp:positionH>
                <wp:positionV relativeFrom="paragraph">
                  <wp:posOffset>1468032</wp:posOffset>
                </wp:positionV>
                <wp:extent cx="4618298" cy="0"/>
                <wp:effectExtent l="0" t="0" r="30480" b="19050"/>
                <wp:wrapNone/>
                <wp:docPr id="17" name="Straight Connector 16"/>
                <wp:cNvGraphicFramePr/>
                <a:graphic xmlns:a="http://schemas.openxmlformats.org/drawingml/2006/main">
                  <a:graphicData uri="http://schemas.microsoft.com/office/word/2010/wordprocessingShape">
                    <wps:wsp>
                      <wps:cNvCnPr/>
                      <wps:spPr bwMode="auto">
                        <a:xfrm flipV="1">
                          <a:off x="0" y="0"/>
                          <a:ext cx="4618298"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5169F74E" id="Straight Connector 16"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05pt,115.6pt" to="445.7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" filled="t" fillcolor="#ff9" strokecolor="#c59f15" strokeweight="2pt"/>
            </w:pict>
          </mc:Fallback>
        </mc:AlternateContent>
      </w:r>
      <w:r>
        <w:rPr>
          <w:noProof/>
          <w:lang w:eastAsia="en-AU"/>
        </w:rPr>
        <w:drawing>
          <wp:inline distT="0" distB="0" distL="0" distR="0" wp14:anchorId="7BECBCD3" wp14:editId="3C43DEC7">
            <wp:extent cx="5731510" cy="3177540"/>
            <wp:effectExtent l="0" t="0" r="254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p>
    <w:p w14:paraId="72B8D327" w14:textId="0E86C66F" w:rsidR="002065F8" w:rsidRPr="002065F8" w:rsidRDefault="002065F8" w:rsidP="002065F8">
      <w:pPr>
        <w:rPr>
          <w:rStyle w:val="Arial12pt0"/>
          <w:b/>
        </w:rPr>
      </w:pPr>
      <w:r>
        <w:rPr>
          <w:rStyle w:val="Arial12pt0"/>
          <w:b/>
        </w:rPr>
        <w:t xml:space="preserve">Comment: </w:t>
      </w:r>
      <w:r w:rsidRPr="002065F8">
        <w:rPr>
          <w:rStyle w:val="Arial12pt0"/>
        </w:rPr>
        <w:t>The net combined ratio of 95.6% is better than the target of 98.7%. This reflects the Insurance Commission's underwriting profit of $33.8 million compared to the budgeted profit of $10.5 million, which was largely driven by the performance of the Motor Vehicle (Catastrophic Injuries) Fund.</w:t>
      </w:r>
      <w:r w:rsidRPr="002065F8">
        <w:rPr>
          <w:rStyle w:val="Arial12pt0"/>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p>
    <w:p w14:paraId="74C0DAFE" w14:textId="77777777" w:rsidR="002065F8" w:rsidRDefault="002065F8" w:rsidP="002065F8">
      <w:pPr>
        <w:rPr>
          <w:rStyle w:val="Arial12pt0"/>
          <w:b/>
        </w:rPr>
      </w:pPr>
      <w:r w:rsidRPr="002065F8">
        <w:rPr>
          <w:rStyle w:val="Arial12pt0"/>
          <w:b/>
        </w:rPr>
        <w:t>Investment Management Expense Ratio (%)</w:t>
      </w:r>
    </w:p>
    <w:p w14:paraId="4A705191" w14:textId="77777777" w:rsidR="002065F8" w:rsidRPr="002065F8" w:rsidRDefault="002065F8" w:rsidP="002065F8">
      <w:pPr>
        <w:rPr>
          <w:rStyle w:val="Arial12pt0"/>
        </w:rPr>
      </w:pPr>
      <w:r w:rsidRPr="002065F8">
        <w:rPr>
          <w:rStyle w:val="Arial12pt0"/>
        </w:rPr>
        <w:t>This KPI calculates the total management costs (investment manager, transaction, custodian, investment advisor, Investment Division administration, legal and audit fees) as a percentage of the average asset value (calculated as an average of the twelve month end valuations) of the Insurance Commission's investment portfolio. This KPI is a standard industry measure of the Insurance Commission's efficiency in managing its investments.</w:t>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r w:rsidRPr="002065F8">
        <w:rPr>
          <w:rStyle w:val="Arial12pt0"/>
        </w:rPr>
        <w:tab/>
      </w:r>
    </w:p>
    <w:p w14:paraId="7A4AFB4D" w14:textId="77777777" w:rsidR="002065F8" w:rsidRDefault="002065F8" w:rsidP="002065F8">
      <w:pPr>
        <w:rPr>
          <w:rStyle w:val="Arial12pt0"/>
          <w:b/>
        </w:rPr>
      </w:pPr>
      <w:r>
        <w:rPr>
          <w:noProof/>
          <w:lang w:eastAsia="en-AU"/>
        </w:rPr>
        <w:lastRenderedPageBreak/>
        <w:drawing>
          <wp:inline distT="0" distB="0" distL="0" distR="0" wp14:anchorId="016E158A" wp14:editId="501E6A10">
            <wp:extent cx="5731510" cy="317754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AC38AA" w14:textId="77777777" w:rsidR="002065F8" w:rsidRDefault="002065F8" w:rsidP="002065F8">
      <w:pPr>
        <w:rPr>
          <w:rStyle w:val="Arial12pt0"/>
          <w:b/>
        </w:rPr>
      </w:pPr>
    </w:p>
    <w:p w14:paraId="51F5F381" w14:textId="49E14D12" w:rsidR="002065F8" w:rsidRPr="002065F8" w:rsidRDefault="002065F8" w:rsidP="002065F8">
      <w:pPr>
        <w:rPr>
          <w:rStyle w:val="Arial12pt0"/>
          <w:b/>
        </w:rPr>
      </w:pPr>
      <w:r>
        <w:rPr>
          <w:rStyle w:val="Arial12pt0"/>
          <w:b/>
        </w:rPr>
        <w:t xml:space="preserve">Comment: </w:t>
      </w:r>
      <w:r w:rsidRPr="002065F8">
        <w:rPr>
          <w:rStyle w:val="Arial12pt0"/>
        </w:rPr>
        <w:t>The investment management expense ratio of 0.47% for the year was below the target of 0.59% due predominantly to lower than expected investment manager performance fees.</w:t>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p>
    <w:p w14:paraId="638B6ECF" w14:textId="77777777" w:rsidR="002065F8" w:rsidRPr="002065F8" w:rsidRDefault="002065F8" w:rsidP="002065F8">
      <w:pPr>
        <w:rPr>
          <w:rStyle w:val="Arial12pt0"/>
          <w:b/>
        </w:rPr>
      </w:pP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p>
    <w:p w14:paraId="7726D7F5" w14:textId="77777777" w:rsidR="002065F8" w:rsidRPr="002065F8" w:rsidRDefault="002065F8" w:rsidP="002065F8">
      <w:pPr>
        <w:rPr>
          <w:rStyle w:val="Arial12pt0"/>
          <w:b/>
        </w:rPr>
      </w:pP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p>
    <w:p w14:paraId="37897555" w14:textId="2837CD43" w:rsidR="002065F8" w:rsidRPr="002065F8" w:rsidRDefault="002065F8" w:rsidP="002065F8">
      <w:pPr>
        <w:rPr>
          <w:rStyle w:val="Arial12pt0"/>
          <w:b/>
        </w:rPr>
      </w:pP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p>
    <w:p w14:paraId="682AF6B0" w14:textId="2F670297" w:rsidR="002065F8" w:rsidRPr="002065F8" w:rsidRDefault="002065F8" w:rsidP="002065F8">
      <w:pPr>
        <w:rPr>
          <w:rStyle w:val="Arial12pt0"/>
          <w:b/>
        </w:rPr>
      </w:pP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p>
    <w:p w14:paraId="2A7A4A69" w14:textId="5346B9B8" w:rsidR="005D5854" w:rsidRPr="005D5854" w:rsidRDefault="002065F8" w:rsidP="002065F8">
      <w:pPr>
        <w:rPr>
          <w:rStyle w:val="Arial12pt0"/>
          <w:b/>
        </w:rPr>
      </w:pP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Pr="002065F8">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r w:rsidR="005D5854" w:rsidRPr="005D5854">
        <w:rPr>
          <w:rStyle w:val="Arial12pt0"/>
          <w:b/>
        </w:rPr>
        <w:tab/>
      </w:r>
    </w:p>
    <w:p w14:paraId="63568095" w14:textId="77777777" w:rsidR="002065F8" w:rsidRDefault="005D5854" w:rsidP="005D5854">
      <w:pPr>
        <w:rPr>
          <w:rStyle w:val="Arial12pt0"/>
          <w:b/>
        </w:rPr>
      </w:pPr>
      <w:r w:rsidRPr="005D5854">
        <w:rPr>
          <w:rStyle w:val="Arial12pt0"/>
          <w:b/>
        </w:rPr>
        <w:tab/>
      </w:r>
    </w:p>
    <w:p w14:paraId="0C006A09" w14:textId="77777777" w:rsidR="002065F8" w:rsidRDefault="002065F8" w:rsidP="005D5854">
      <w:pPr>
        <w:rPr>
          <w:rStyle w:val="Arial12pt0"/>
          <w:b/>
        </w:rPr>
      </w:pPr>
    </w:p>
    <w:p w14:paraId="06F09185" w14:textId="77777777" w:rsidR="002065F8" w:rsidRDefault="002065F8" w:rsidP="005D5854">
      <w:pPr>
        <w:rPr>
          <w:rStyle w:val="Arial12pt0"/>
          <w:b/>
        </w:rPr>
      </w:pPr>
    </w:p>
    <w:p w14:paraId="560B6246" w14:textId="77777777" w:rsidR="002065F8" w:rsidRDefault="002065F8" w:rsidP="005D5854">
      <w:pPr>
        <w:rPr>
          <w:rStyle w:val="Arial12pt0"/>
          <w:b/>
        </w:rPr>
      </w:pPr>
    </w:p>
    <w:p w14:paraId="0DC5F1CC" w14:textId="77777777" w:rsidR="002065F8" w:rsidRDefault="002065F8" w:rsidP="005D5854">
      <w:pPr>
        <w:rPr>
          <w:rStyle w:val="Arial12pt0"/>
          <w:b/>
        </w:rPr>
      </w:pPr>
    </w:p>
    <w:p w14:paraId="7DD9D4D4" w14:textId="77777777" w:rsidR="002065F8" w:rsidRDefault="002065F8" w:rsidP="005D5854">
      <w:pPr>
        <w:rPr>
          <w:rStyle w:val="Arial12pt0"/>
          <w:b/>
        </w:rPr>
      </w:pPr>
    </w:p>
    <w:p w14:paraId="28C6D249" w14:textId="77777777" w:rsidR="002065F8" w:rsidRDefault="002065F8" w:rsidP="005D5854">
      <w:pPr>
        <w:rPr>
          <w:rStyle w:val="Arial12pt0"/>
          <w:b/>
        </w:rPr>
      </w:pPr>
    </w:p>
    <w:p w14:paraId="6E7E0B5D" w14:textId="77777777" w:rsidR="002065F8" w:rsidRDefault="002065F8" w:rsidP="005D5854">
      <w:pPr>
        <w:rPr>
          <w:rStyle w:val="Arial12pt0"/>
          <w:b/>
        </w:rPr>
      </w:pPr>
    </w:p>
    <w:p w14:paraId="7486EE9C" w14:textId="77777777" w:rsidR="002065F8" w:rsidRDefault="002065F8" w:rsidP="005D5854">
      <w:pPr>
        <w:rPr>
          <w:rStyle w:val="Arial12pt0"/>
          <w:b/>
        </w:rPr>
      </w:pPr>
    </w:p>
    <w:p w14:paraId="777CD260" w14:textId="77777777" w:rsidR="002065F8" w:rsidRDefault="002065F8" w:rsidP="005D5854">
      <w:pPr>
        <w:rPr>
          <w:rStyle w:val="Arial12pt0"/>
          <w:b/>
        </w:rPr>
      </w:pPr>
    </w:p>
    <w:p w14:paraId="0A9FA8E3" w14:textId="77777777" w:rsidR="002065F8" w:rsidRDefault="002065F8" w:rsidP="005D5854">
      <w:pPr>
        <w:rPr>
          <w:rStyle w:val="Arial12pt0"/>
          <w:b/>
        </w:rPr>
      </w:pPr>
    </w:p>
    <w:p w14:paraId="2A1EB142" w14:textId="77777777" w:rsidR="002065F8" w:rsidRDefault="002065F8" w:rsidP="005D5854">
      <w:pPr>
        <w:rPr>
          <w:rStyle w:val="Arial12pt0"/>
          <w:b/>
        </w:rPr>
      </w:pPr>
    </w:p>
    <w:p w14:paraId="3085579E" w14:textId="088FB431" w:rsidR="005D5854" w:rsidRPr="005D5854" w:rsidRDefault="005D5854" w:rsidP="005D5854">
      <w:pPr>
        <w:rPr>
          <w:rStyle w:val="Arial12pt0"/>
          <w:b/>
        </w:rPr>
      </w:pP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p>
    <w:p w14:paraId="1416AC82" w14:textId="067F0817" w:rsidR="00C61D04" w:rsidRPr="005D5854" w:rsidRDefault="005D5854" w:rsidP="005D5854">
      <w:pPr>
        <w:rPr>
          <w:rStyle w:val="Arial12pt0"/>
          <w:b/>
        </w:rPr>
      </w:pP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Pr="005D5854">
        <w:rPr>
          <w:rStyle w:val="Arial12pt0"/>
          <w:b/>
        </w:rPr>
        <w:tab/>
      </w:r>
      <w:r w:rsidR="00C61D04" w:rsidRPr="005D5854">
        <w:rPr>
          <w:rStyle w:val="Arial12pt0"/>
          <w:b/>
        </w:rPr>
        <w:tab/>
      </w:r>
      <w:r w:rsidR="00C61D04" w:rsidRPr="005D5854">
        <w:rPr>
          <w:rStyle w:val="Arial12pt0"/>
          <w:b/>
        </w:rPr>
        <w:tab/>
      </w:r>
      <w:r w:rsidR="00C61D04" w:rsidRPr="005D5854">
        <w:rPr>
          <w:rStyle w:val="Arial12pt0"/>
          <w:b/>
        </w:rPr>
        <w:tab/>
      </w:r>
      <w:r w:rsidR="00C61D04" w:rsidRPr="005D5854">
        <w:rPr>
          <w:rStyle w:val="Arial12pt0"/>
          <w:b/>
        </w:rPr>
        <w:tab/>
      </w:r>
      <w:r w:rsidR="00C61D04" w:rsidRPr="005D5854">
        <w:rPr>
          <w:rStyle w:val="Arial12pt0"/>
          <w:b/>
        </w:rPr>
        <w:tab/>
      </w:r>
      <w:r w:rsidR="00C61D04" w:rsidRPr="005D5854">
        <w:rPr>
          <w:rStyle w:val="Arial12pt0"/>
          <w:b/>
        </w:rPr>
        <w:tab/>
      </w:r>
      <w:r w:rsidR="00C61D04" w:rsidRPr="005D5854">
        <w:rPr>
          <w:rStyle w:val="Arial12pt0"/>
          <w:b/>
        </w:rPr>
        <w:tab/>
      </w:r>
      <w:r w:rsidR="00C61D04" w:rsidRPr="005D5854">
        <w:rPr>
          <w:rStyle w:val="Arial12pt0"/>
          <w:b/>
        </w:rPr>
        <w:tab/>
      </w:r>
    </w:p>
    <w:p w14:paraId="7518808B" w14:textId="77777777" w:rsidR="007A3C82" w:rsidRDefault="007A3C82" w:rsidP="00371A85">
      <w:pPr>
        <w:rPr>
          <w:rFonts w:ascii="Arial" w:hAnsi="Arial" w:cs="Arial"/>
          <w:szCs w:val="24"/>
        </w:rPr>
      </w:pPr>
    </w:p>
    <w:p w14:paraId="480847AA" w14:textId="77777777" w:rsidR="00EE33A3" w:rsidRPr="00BB3520" w:rsidRDefault="00EE33A3" w:rsidP="00EE33A3">
      <w:pPr>
        <w:pStyle w:val="ARHeading2"/>
        <w:rPr>
          <w:i/>
        </w:rPr>
      </w:pPr>
      <w:bookmarkStart w:id="56" w:name="_Toc524709389"/>
      <w:bookmarkStart w:id="57" w:name="_Toc458802738"/>
      <w:r w:rsidRPr="00BB3520">
        <w:lastRenderedPageBreak/>
        <w:t>3.2</w:t>
      </w:r>
      <w:r w:rsidRPr="00BB3520">
        <w:tab/>
        <w:t>Motor Injury Insurance</w:t>
      </w:r>
      <w:bookmarkEnd w:id="56"/>
      <w:r w:rsidRPr="00BB3520">
        <w:t xml:space="preserve"> </w:t>
      </w:r>
      <w:bookmarkEnd w:id="57"/>
    </w:p>
    <w:p w14:paraId="00B21636" w14:textId="77777777" w:rsidR="00EE33A3" w:rsidRDefault="00EE33A3" w:rsidP="00EE33A3">
      <w:pPr>
        <w:rPr>
          <w:rFonts w:ascii="Arial" w:hAnsi="Arial" w:cs="Arial"/>
        </w:rPr>
      </w:pPr>
    </w:p>
    <w:p w14:paraId="4B0AB3BD" w14:textId="77777777" w:rsidR="00EE33A3" w:rsidRPr="00EB2B9D" w:rsidRDefault="00EE33A3" w:rsidP="00EE33A3">
      <w:pPr>
        <w:rPr>
          <w:rFonts w:ascii="Arial" w:hAnsi="Arial" w:cs="Arial"/>
        </w:rPr>
      </w:pPr>
      <w:r w:rsidRPr="00EB2B9D">
        <w:rPr>
          <w:rFonts w:ascii="Arial" w:hAnsi="Arial" w:cs="Arial"/>
        </w:rPr>
        <w:t xml:space="preserve">Total New Claims: </w:t>
      </w:r>
      <w:r>
        <w:rPr>
          <w:rFonts w:ascii="Arial" w:hAnsi="Arial" w:cs="Arial"/>
        </w:rPr>
        <w:t>11,818</w:t>
      </w:r>
    </w:p>
    <w:p w14:paraId="749E343F" w14:textId="77777777" w:rsidR="00EE33A3" w:rsidRPr="00EB2B9D" w:rsidRDefault="00EE33A3" w:rsidP="00EE33A3">
      <w:pPr>
        <w:rPr>
          <w:rFonts w:ascii="Arial" w:hAnsi="Arial" w:cs="Arial"/>
        </w:rPr>
      </w:pPr>
      <w:r w:rsidRPr="00EB2B9D">
        <w:rPr>
          <w:rFonts w:ascii="Arial" w:hAnsi="Arial" w:cs="Arial"/>
        </w:rPr>
        <w:t>Total Claims Payments: $</w:t>
      </w:r>
      <w:r>
        <w:rPr>
          <w:rFonts w:ascii="Arial" w:hAnsi="Arial" w:cs="Arial"/>
        </w:rPr>
        <w:t xml:space="preserve">391.5 </w:t>
      </w:r>
      <w:r w:rsidRPr="00EB2B9D">
        <w:rPr>
          <w:rFonts w:ascii="Arial" w:hAnsi="Arial" w:cs="Arial"/>
        </w:rPr>
        <w:t>million</w:t>
      </w:r>
    </w:p>
    <w:p w14:paraId="74475157" w14:textId="77777777" w:rsidR="00EE33A3" w:rsidRPr="00EB2B9D" w:rsidRDefault="00EE33A3" w:rsidP="00EE33A3">
      <w:pPr>
        <w:rPr>
          <w:rFonts w:ascii="Arial" w:hAnsi="Arial" w:cs="Arial"/>
        </w:rPr>
      </w:pPr>
      <w:r w:rsidRPr="00EB2B9D">
        <w:rPr>
          <w:rFonts w:ascii="Arial" w:hAnsi="Arial" w:cs="Arial"/>
        </w:rPr>
        <w:t xml:space="preserve">Underwriting Result: </w:t>
      </w:r>
      <w:r>
        <w:rPr>
          <w:rFonts w:ascii="Arial" w:hAnsi="Arial" w:cs="Arial"/>
        </w:rPr>
        <w:t>$63.6</w:t>
      </w:r>
      <w:r w:rsidRPr="00553FBD">
        <w:rPr>
          <w:rFonts w:ascii="Arial" w:hAnsi="Arial" w:cs="Arial"/>
        </w:rPr>
        <w:t xml:space="preserve"> million</w:t>
      </w:r>
    </w:p>
    <w:p w14:paraId="6F086B91" w14:textId="77777777" w:rsidR="00EE33A3" w:rsidRPr="00EB2B9D" w:rsidRDefault="00EE33A3" w:rsidP="00EE33A3">
      <w:pPr>
        <w:rPr>
          <w:rFonts w:ascii="Arial" w:hAnsi="Arial" w:cs="Arial"/>
        </w:rPr>
      </w:pPr>
      <w:r>
        <w:rPr>
          <w:rFonts w:ascii="Arial" w:hAnsi="Arial" w:cs="Arial"/>
        </w:rPr>
        <w:t>Decrease</w:t>
      </w:r>
      <w:r w:rsidRPr="00EB2B9D">
        <w:rPr>
          <w:rFonts w:ascii="Arial" w:hAnsi="Arial" w:cs="Arial"/>
        </w:rPr>
        <w:t xml:space="preserve"> in New </w:t>
      </w:r>
      <w:r>
        <w:rPr>
          <w:rFonts w:ascii="Arial" w:hAnsi="Arial" w:cs="Arial"/>
        </w:rPr>
        <w:t xml:space="preserve">CTP Compensation </w:t>
      </w:r>
      <w:r w:rsidRPr="00EB2B9D">
        <w:rPr>
          <w:rFonts w:ascii="Arial" w:hAnsi="Arial" w:cs="Arial"/>
        </w:rPr>
        <w:t>Claims Received:</w:t>
      </w:r>
      <w:r>
        <w:rPr>
          <w:rFonts w:ascii="Arial" w:hAnsi="Arial" w:cs="Arial"/>
        </w:rPr>
        <w:t xml:space="preserve"> 5.3%</w:t>
      </w:r>
    </w:p>
    <w:p w14:paraId="31138859" w14:textId="77777777" w:rsidR="00EE33A3" w:rsidRPr="00EB2B9D" w:rsidRDefault="00EE33A3" w:rsidP="00EE33A3">
      <w:pPr>
        <w:rPr>
          <w:rFonts w:ascii="Arial" w:hAnsi="Arial" w:cs="Arial"/>
        </w:rPr>
      </w:pPr>
    </w:p>
    <w:p w14:paraId="55627CBF" w14:textId="77777777" w:rsidR="00EE33A3" w:rsidRDefault="00EE33A3" w:rsidP="00EE33A3">
      <w:pPr>
        <w:pStyle w:val="NoParagraphStyle"/>
        <w:suppressAutoHyphens/>
        <w:spacing w:line="240" w:lineRule="auto"/>
        <w:jc w:val="both"/>
        <w:rPr>
          <w:rFonts w:ascii="Arial" w:hAnsi="Arial" w:cs="Arial"/>
          <w:color w:val="auto"/>
        </w:rPr>
      </w:pPr>
      <w:r>
        <w:rPr>
          <w:rFonts w:ascii="Arial" w:hAnsi="Arial" w:cs="Arial"/>
          <w:color w:val="auto"/>
        </w:rPr>
        <w:t xml:space="preserve">The </w:t>
      </w:r>
      <w:r w:rsidRPr="00BB3520">
        <w:rPr>
          <w:rFonts w:ascii="Arial" w:hAnsi="Arial" w:cs="Arial"/>
          <w:color w:val="auto"/>
        </w:rPr>
        <w:t>Insurance Commission received $</w:t>
      </w:r>
      <w:r>
        <w:rPr>
          <w:rFonts w:ascii="Arial" w:hAnsi="Arial" w:cs="Arial"/>
          <w:color w:val="auto"/>
        </w:rPr>
        <w:t xml:space="preserve">769.5 </w:t>
      </w:r>
      <w:r w:rsidRPr="00BB3520">
        <w:rPr>
          <w:rFonts w:ascii="Arial" w:hAnsi="Arial" w:cs="Arial"/>
          <w:color w:val="auto"/>
        </w:rPr>
        <w:t xml:space="preserve">million in motor injury insurance premium revenue </w:t>
      </w:r>
      <w:r>
        <w:rPr>
          <w:rFonts w:ascii="Arial" w:hAnsi="Arial" w:cs="Arial"/>
          <w:color w:val="auto"/>
        </w:rPr>
        <w:t xml:space="preserve">in 2018 </w:t>
      </w:r>
      <w:r w:rsidRPr="004766FA">
        <w:rPr>
          <w:rFonts w:ascii="Arial" w:hAnsi="Arial" w:cs="Arial"/>
          <w:lang w:val="en-US"/>
        </w:rPr>
        <w:t>for 2.</w:t>
      </w:r>
      <w:r>
        <w:rPr>
          <w:rFonts w:ascii="Arial" w:hAnsi="Arial" w:cs="Arial"/>
          <w:lang w:val="en-US"/>
        </w:rPr>
        <w:t>9</w:t>
      </w:r>
      <w:r w:rsidRPr="004766FA">
        <w:rPr>
          <w:rFonts w:ascii="Arial" w:hAnsi="Arial" w:cs="Arial"/>
          <w:lang w:val="en-US"/>
        </w:rPr>
        <w:t xml:space="preserve"> million insured vehicles.</w:t>
      </w:r>
    </w:p>
    <w:p w14:paraId="3E5890FD" w14:textId="77777777" w:rsidR="00EE33A3" w:rsidRDefault="00EE33A3" w:rsidP="00EE33A3">
      <w:pPr>
        <w:pStyle w:val="NoParagraphStyle"/>
        <w:suppressAutoHyphens/>
        <w:spacing w:line="240" w:lineRule="auto"/>
        <w:jc w:val="both"/>
        <w:rPr>
          <w:rFonts w:ascii="Arial" w:hAnsi="Arial" w:cs="Arial"/>
          <w:color w:val="auto"/>
        </w:rPr>
      </w:pPr>
    </w:p>
    <w:p w14:paraId="66BF1F70" w14:textId="77777777" w:rsidR="00EE33A3" w:rsidRDefault="00EE33A3" w:rsidP="00EE33A3">
      <w:pPr>
        <w:autoSpaceDE w:val="0"/>
        <w:autoSpaceDN w:val="0"/>
        <w:adjustRightInd w:val="0"/>
        <w:rPr>
          <w:rFonts w:ascii="Arial" w:hAnsi="Arial" w:cs="Arial"/>
          <w:lang w:val="en-US"/>
        </w:rPr>
      </w:pPr>
      <w:r>
        <w:rPr>
          <w:rFonts w:ascii="Arial" w:hAnsi="Arial" w:cs="Arial"/>
          <w:lang w:val="en-US"/>
        </w:rPr>
        <w:t>P</w:t>
      </w:r>
      <w:r w:rsidRPr="00323798">
        <w:rPr>
          <w:rFonts w:ascii="Arial" w:hAnsi="Arial" w:cs="Arial"/>
          <w:lang w:val="en-US"/>
        </w:rPr>
        <w:t xml:space="preserve">remium revenue </w:t>
      </w:r>
      <w:r>
        <w:rPr>
          <w:rFonts w:ascii="Arial" w:hAnsi="Arial" w:cs="Arial"/>
          <w:lang w:val="en-US"/>
        </w:rPr>
        <w:t xml:space="preserve">in 2018 </w:t>
      </w:r>
      <w:r w:rsidRPr="00323798">
        <w:rPr>
          <w:rFonts w:ascii="Arial" w:hAnsi="Arial" w:cs="Arial"/>
          <w:lang w:val="en-US"/>
        </w:rPr>
        <w:t>was</w:t>
      </w:r>
      <w:r>
        <w:rPr>
          <w:rFonts w:ascii="Arial" w:hAnsi="Arial" w:cs="Arial"/>
          <w:lang w:val="en-US"/>
        </w:rPr>
        <w:t xml:space="preserve"> </w:t>
      </w:r>
      <w:r w:rsidRPr="00323798">
        <w:rPr>
          <w:rFonts w:ascii="Arial" w:hAnsi="Arial" w:cs="Arial"/>
          <w:lang w:val="en-US"/>
        </w:rPr>
        <w:t>higher</w:t>
      </w:r>
      <w:r>
        <w:rPr>
          <w:rFonts w:ascii="Arial" w:hAnsi="Arial" w:cs="Arial"/>
          <w:lang w:val="en-US"/>
        </w:rPr>
        <w:t xml:space="preserve"> </w:t>
      </w:r>
      <w:r w:rsidRPr="00323798">
        <w:rPr>
          <w:rFonts w:ascii="Arial" w:hAnsi="Arial" w:cs="Arial"/>
          <w:lang w:val="en-US"/>
        </w:rPr>
        <w:t xml:space="preserve">than </w:t>
      </w:r>
      <w:r>
        <w:rPr>
          <w:rFonts w:ascii="Arial" w:hAnsi="Arial" w:cs="Arial"/>
          <w:lang w:val="en-US"/>
        </w:rPr>
        <w:t xml:space="preserve">the $686.6 million of revenue collected in 2017 as 2018 was the first full year that insurance premium was paid by all motorists for Catastrophic </w:t>
      </w:r>
      <w:r w:rsidRPr="00C31729">
        <w:rPr>
          <w:rFonts w:ascii="Arial" w:hAnsi="Arial" w:cs="Arial"/>
          <w:lang w:val="en-US"/>
        </w:rPr>
        <w:t xml:space="preserve">Injuries Support (CIS) cover. </w:t>
      </w:r>
    </w:p>
    <w:p w14:paraId="4D25EA3F" w14:textId="77777777" w:rsidR="00EE33A3" w:rsidRDefault="00EE33A3" w:rsidP="00EE33A3">
      <w:pPr>
        <w:autoSpaceDE w:val="0"/>
        <w:autoSpaceDN w:val="0"/>
        <w:adjustRightInd w:val="0"/>
        <w:rPr>
          <w:rFonts w:ascii="Arial" w:hAnsi="Arial" w:cs="Arial"/>
          <w:lang w:val="en-US"/>
        </w:rPr>
      </w:pPr>
    </w:p>
    <w:p w14:paraId="42985591" w14:textId="77777777" w:rsidR="00EE33A3" w:rsidRDefault="00EE33A3" w:rsidP="00EE33A3">
      <w:pPr>
        <w:autoSpaceDE w:val="0"/>
        <w:autoSpaceDN w:val="0"/>
        <w:adjustRightInd w:val="0"/>
        <w:rPr>
          <w:rFonts w:ascii="Arial" w:hAnsi="Arial" w:cs="Arial"/>
        </w:rPr>
      </w:pPr>
      <w:r>
        <w:rPr>
          <w:rFonts w:ascii="Arial" w:hAnsi="Arial" w:cs="Arial"/>
          <w:lang w:val="en-US"/>
        </w:rPr>
        <w:t>Compared to the budget of $783.7 million for 2018, premium revenue received slightly below expectations.</w:t>
      </w:r>
    </w:p>
    <w:p w14:paraId="69177DFB" w14:textId="77777777" w:rsidR="00EE33A3" w:rsidRDefault="00EE33A3" w:rsidP="00EE33A3">
      <w:pPr>
        <w:autoSpaceDE w:val="0"/>
        <w:autoSpaceDN w:val="0"/>
        <w:adjustRightInd w:val="0"/>
        <w:rPr>
          <w:rFonts w:ascii="Arial" w:hAnsi="Arial" w:cs="Arial"/>
        </w:rPr>
      </w:pPr>
    </w:p>
    <w:p w14:paraId="4548EC03" w14:textId="77777777" w:rsidR="00EE33A3" w:rsidRDefault="00EE33A3" w:rsidP="00EE33A3">
      <w:pPr>
        <w:autoSpaceDE w:val="0"/>
        <w:autoSpaceDN w:val="0"/>
        <w:adjustRightInd w:val="0"/>
        <w:rPr>
          <w:rFonts w:ascii="Arial" w:hAnsi="Arial" w:cs="Arial"/>
        </w:rPr>
      </w:pPr>
      <w:r w:rsidRPr="00C31729">
        <w:rPr>
          <w:rFonts w:ascii="Arial" w:hAnsi="Arial" w:cs="Arial"/>
        </w:rPr>
        <w:t xml:space="preserve">The Insurance Commission managed </w:t>
      </w:r>
      <w:r>
        <w:rPr>
          <w:rFonts w:ascii="Arial" w:hAnsi="Arial" w:cs="Arial"/>
        </w:rPr>
        <w:t>motor injury</w:t>
      </w:r>
      <w:r w:rsidRPr="00C31729">
        <w:rPr>
          <w:rFonts w:ascii="Arial" w:hAnsi="Arial" w:cs="Arial"/>
        </w:rPr>
        <w:t xml:space="preserve"> claims value</w:t>
      </w:r>
      <w:r>
        <w:rPr>
          <w:rFonts w:ascii="Arial" w:hAnsi="Arial" w:cs="Arial"/>
        </w:rPr>
        <w:t xml:space="preserve">d at nearly </w:t>
      </w:r>
      <w:r w:rsidRPr="00C31729">
        <w:rPr>
          <w:rFonts w:ascii="Arial" w:hAnsi="Arial" w:cs="Arial"/>
        </w:rPr>
        <w:t>$</w:t>
      </w:r>
      <w:r>
        <w:rPr>
          <w:rFonts w:ascii="Arial" w:hAnsi="Arial" w:cs="Arial"/>
        </w:rPr>
        <w:t>2.8</w:t>
      </w:r>
      <w:r w:rsidRPr="00C31729">
        <w:rPr>
          <w:rFonts w:ascii="Arial" w:hAnsi="Arial" w:cs="Arial"/>
        </w:rPr>
        <w:t xml:space="preserve"> billion </w:t>
      </w:r>
      <w:r>
        <w:rPr>
          <w:rFonts w:ascii="Arial" w:hAnsi="Arial" w:cs="Arial"/>
        </w:rPr>
        <w:t>in 2018</w:t>
      </w:r>
      <w:r w:rsidRPr="00C31729">
        <w:rPr>
          <w:rFonts w:ascii="Arial" w:hAnsi="Arial" w:cs="Arial"/>
        </w:rPr>
        <w:t>, consisting of $</w:t>
      </w:r>
      <w:r>
        <w:rPr>
          <w:rFonts w:ascii="Arial" w:hAnsi="Arial" w:cs="Arial"/>
        </w:rPr>
        <w:t>391</w:t>
      </w:r>
      <w:r w:rsidRPr="00C31729">
        <w:rPr>
          <w:rFonts w:ascii="Arial" w:hAnsi="Arial" w:cs="Arial"/>
        </w:rPr>
        <w:t xml:space="preserve"> million in claims payments to people injured in crashes</w:t>
      </w:r>
      <w:r>
        <w:rPr>
          <w:rFonts w:ascii="Arial" w:hAnsi="Arial" w:cs="Arial"/>
        </w:rPr>
        <w:t xml:space="preserve"> (</w:t>
      </w:r>
      <w:r w:rsidRPr="00C31729">
        <w:rPr>
          <w:rFonts w:ascii="Arial" w:hAnsi="Arial" w:cs="Arial"/>
        </w:rPr>
        <w:t>mostly in prior years</w:t>
      </w:r>
      <w:r>
        <w:rPr>
          <w:rFonts w:ascii="Arial" w:hAnsi="Arial" w:cs="Arial"/>
        </w:rPr>
        <w:t>)</w:t>
      </w:r>
      <w:r w:rsidRPr="00C31729">
        <w:rPr>
          <w:rFonts w:ascii="Arial" w:hAnsi="Arial" w:cs="Arial"/>
        </w:rPr>
        <w:t>, and anticipated future claims expenses of $</w:t>
      </w:r>
      <w:r>
        <w:rPr>
          <w:rFonts w:ascii="Arial" w:hAnsi="Arial" w:cs="Arial"/>
        </w:rPr>
        <w:t>2.4</w:t>
      </w:r>
      <w:r w:rsidRPr="00C31729">
        <w:rPr>
          <w:rFonts w:ascii="Arial" w:hAnsi="Arial" w:cs="Arial"/>
        </w:rPr>
        <w:t xml:space="preserve"> billion.</w:t>
      </w:r>
      <w:r>
        <w:rPr>
          <w:rFonts w:ascii="Arial" w:hAnsi="Arial" w:cs="Arial"/>
        </w:rPr>
        <w:t xml:space="preserve"> Motor injury insurance claims liabilities increased by $244.6 million in 2018 reflecting additional future claims payments.</w:t>
      </w:r>
    </w:p>
    <w:p w14:paraId="19930329" w14:textId="77777777" w:rsidR="00EE33A3" w:rsidRDefault="00EE33A3" w:rsidP="00EE33A3">
      <w:pPr>
        <w:autoSpaceDE w:val="0"/>
        <w:autoSpaceDN w:val="0"/>
        <w:adjustRightInd w:val="0"/>
        <w:rPr>
          <w:rFonts w:ascii="Arial" w:hAnsi="Arial" w:cs="Arial"/>
        </w:rPr>
      </w:pPr>
    </w:p>
    <w:p w14:paraId="37ED0E17" w14:textId="77777777" w:rsidR="00EE33A3" w:rsidRDefault="00EE33A3" w:rsidP="00EE33A3">
      <w:pPr>
        <w:rPr>
          <w:rFonts w:ascii="Arial" w:hAnsi="Arial" w:cs="Arial"/>
        </w:rPr>
      </w:pPr>
      <w:r>
        <w:rPr>
          <w:rFonts w:ascii="Arial" w:hAnsi="Arial" w:cs="Arial"/>
          <w:szCs w:val="24"/>
        </w:rPr>
        <w:t>Claims payments for the year were $71 million</w:t>
      </w:r>
      <w:r w:rsidRPr="00BB3520">
        <w:rPr>
          <w:rFonts w:ascii="Arial" w:hAnsi="Arial" w:cs="Arial"/>
          <w:szCs w:val="24"/>
        </w:rPr>
        <w:t xml:space="preserve"> </w:t>
      </w:r>
      <w:r>
        <w:rPr>
          <w:rFonts w:ascii="Arial" w:hAnsi="Arial" w:cs="Arial"/>
          <w:szCs w:val="24"/>
        </w:rPr>
        <w:t xml:space="preserve">lower than </w:t>
      </w:r>
      <w:r w:rsidRPr="00BB3520">
        <w:rPr>
          <w:rFonts w:ascii="Arial" w:hAnsi="Arial" w:cs="Arial"/>
          <w:szCs w:val="24"/>
        </w:rPr>
        <w:t>claims paid in 2017</w:t>
      </w:r>
      <w:r>
        <w:rPr>
          <w:rFonts w:ascii="Arial" w:hAnsi="Arial" w:cs="Arial"/>
          <w:szCs w:val="24"/>
        </w:rPr>
        <w:t xml:space="preserve">, which were $462.4 million. </w:t>
      </w:r>
      <w:r w:rsidRPr="002E1B65">
        <w:rPr>
          <w:rFonts w:ascii="Arial" w:hAnsi="Arial" w:cs="Arial"/>
        </w:rPr>
        <w:t xml:space="preserve">The reduction in </w:t>
      </w:r>
      <w:r>
        <w:rPr>
          <w:rFonts w:ascii="Arial" w:hAnsi="Arial" w:cs="Arial"/>
        </w:rPr>
        <w:t xml:space="preserve">the value of </w:t>
      </w:r>
      <w:r w:rsidRPr="002E1B65">
        <w:rPr>
          <w:rFonts w:ascii="Arial" w:hAnsi="Arial" w:cs="Arial"/>
        </w:rPr>
        <w:t>claim payment</w:t>
      </w:r>
      <w:r>
        <w:rPr>
          <w:rFonts w:ascii="Arial" w:hAnsi="Arial" w:cs="Arial"/>
        </w:rPr>
        <w:t>s</w:t>
      </w:r>
      <w:r w:rsidRPr="002E1B65">
        <w:rPr>
          <w:rFonts w:ascii="Arial" w:hAnsi="Arial" w:cs="Arial"/>
        </w:rPr>
        <w:t xml:space="preserve"> is largely a result of </w:t>
      </w:r>
      <w:r>
        <w:rPr>
          <w:rFonts w:ascii="Arial" w:hAnsi="Arial" w:cs="Arial"/>
        </w:rPr>
        <w:t>the following:</w:t>
      </w:r>
    </w:p>
    <w:p w14:paraId="1C426C2A" w14:textId="77777777" w:rsidR="00EE33A3" w:rsidRDefault="00EE33A3" w:rsidP="00EE33A3">
      <w:pPr>
        <w:rPr>
          <w:rFonts w:ascii="Arial" w:hAnsi="Arial" w:cs="Arial"/>
        </w:rPr>
      </w:pPr>
    </w:p>
    <w:p w14:paraId="3B3C38A3" w14:textId="77777777" w:rsidR="00EE33A3" w:rsidRDefault="00EE33A3" w:rsidP="00EE33A3">
      <w:pPr>
        <w:pStyle w:val="ListParagraph"/>
        <w:numPr>
          <w:ilvl w:val="0"/>
          <w:numId w:val="30"/>
        </w:numPr>
        <w:rPr>
          <w:rFonts w:ascii="Arial" w:hAnsi="Arial" w:cs="Arial"/>
        </w:rPr>
      </w:pPr>
      <w:r>
        <w:rPr>
          <w:rFonts w:ascii="Arial" w:hAnsi="Arial" w:cs="Arial"/>
        </w:rPr>
        <w:t>fewer new Compulsory Third Party (CTP) compensation claims received in 2018 (3,191) compared to 2017 (3,370)</w:t>
      </w:r>
      <w:r w:rsidRPr="00F337CA">
        <w:rPr>
          <w:rFonts w:ascii="Arial" w:hAnsi="Arial" w:cs="Arial"/>
        </w:rPr>
        <w:t>;</w:t>
      </w:r>
      <w:r>
        <w:rPr>
          <w:rFonts w:ascii="Arial" w:hAnsi="Arial" w:cs="Arial"/>
        </w:rPr>
        <w:t xml:space="preserve"> and</w:t>
      </w:r>
    </w:p>
    <w:p w14:paraId="10559398" w14:textId="77777777" w:rsidR="00EE33A3" w:rsidRPr="00F337CA" w:rsidRDefault="00EE33A3" w:rsidP="00EE33A3">
      <w:pPr>
        <w:pStyle w:val="ListParagraph"/>
        <w:numPr>
          <w:ilvl w:val="0"/>
          <w:numId w:val="30"/>
        </w:numPr>
        <w:rPr>
          <w:rFonts w:ascii="Arial" w:hAnsi="Arial" w:cs="Arial"/>
        </w:rPr>
      </w:pPr>
      <w:proofErr w:type="gramStart"/>
      <w:r w:rsidRPr="00F337CA">
        <w:rPr>
          <w:rFonts w:ascii="Arial" w:hAnsi="Arial" w:cs="Arial"/>
        </w:rPr>
        <w:t>fewer</w:t>
      </w:r>
      <w:proofErr w:type="gramEnd"/>
      <w:r w:rsidRPr="00F337CA">
        <w:rPr>
          <w:rFonts w:ascii="Arial" w:hAnsi="Arial" w:cs="Arial"/>
        </w:rPr>
        <w:t xml:space="preserve"> large loss claims finalised at lower values (28 large loss claims were finalised in 2018 at an average cost of $3.2 million, compared to 35 in 2017 at an average cost of $4.9 million). </w:t>
      </w:r>
      <w:r w:rsidRPr="00F337CA">
        <w:rPr>
          <w:rFonts w:ascii="Arial" w:hAnsi="Arial" w:cs="Arial"/>
          <w:lang w:val="en-US"/>
        </w:rPr>
        <w:t xml:space="preserve"> </w:t>
      </w:r>
    </w:p>
    <w:p w14:paraId="3E0BE18C" w14:textId="77777777" w:rsidR="00EE33A3" w:rsidRPr="00EB2B9D" w:rsidRDefault="00EE33A3" w:rsidP="00EE33A3">
      <w:pPr>
        <w:rPr>
          <w:rFonts w:ascii="Arial" w:hAnsi="Arial" w:cs="Arial"/>
          <w:lang w:val="en-US"/>
        </w:rPr>
      </w:pPr>
    </w:p>
    <w:p w14:paraId="68D87B98" w14:textId="77777777" w:rsidR="00EE33A3" w:rsidRPr="00BB3520" w:rsidRDefault="00EE33A3" w:rsidP="00EE33A3">
      <w:pPr>
        <w:rPr>
          <w:rFonts w:ascii="Arial" w:hAnsi="Arial" w:cs="Arial"/>
          <w:b/>
          <w:sz w:val="28"/>
          <w:szCs w:val="28"/>
        </w:rPr>
      </w:pPr>
      <w:r w:rsidRPr="00BB3520">
        <w:rPr>
          <w:rFonts w:ascii="Arial" w:hAnsi="Arial" w:cs="Arial"/>
          <w:b/>
          <w:sz w:val="28"/>
          <w:szCs w:val="28"/>
          <w:lang w:val="en-US"/>
        </w:rPr>
        <w:t>Third Party Insurance Fund</w:t>
      </w:r>
    </w:p>
    <w:p w14:paraId="540A57D9" w14:textId="77777777" w:rsidR="00EE33A3" w:rsidRDefault="00EE33A3" w:rsidP="00EE33A3">
      <w:pPr>
        <w:autoSpaceDE w:val="0"/>
        <w:autoSpaceDN w:val="0"/>
        <w:adjustRightInd w:val="0"/>
        <w:rPr>
          <w:rFonts w:ascii="Arial" w:hAnsi="Arial" w:cs="Arial"/>
          <w:lang w:val="en-US"/>
        </w:rPr>
      </w:pPr>
      <w:r>
        <w:rPr>
          <w:rFonts w:ascii="Arial" w:hAnsi="Arial" w:cs="Arial"/>
          <w:lang w:val="en-US"/>
        </w:rPr>
        <w:t xml:space="preserve">The Third Party Insurance Fund (TPIF) is the fund associated with the CTP insurance scheme, which represents the majority of motor injury insurance claims and costs for the Insurance Commission.  </w:t>
      </w:r>
    </w:p>
    <w:p w14:paraId="2BD913AC" w14:textId="77777777" w:rsidR="00EE33A3" w:rsidRDefault="00EE33A3" w:rsidP="00EE33A3">
      <w:pPr>
        <w:rPr>
          <w:rFonts w:ascii="Arial" w:hAnsi="Arial" w:cs="Arial"/>
        </w:rPr>
      </w:pPr>
    </w:p>
    <w:p w14:paraId="41D48048" w14:textId="77777777" w:rsidR="00EE33A3" w:rsidRDefault="00EE33A3" w:rsidP="00EE33A3">
      <w:pPr>
        <w:rPr>
          <w:rFonts w:ascii="Arial" w:hAnsi="Arial" w:cs="Arial"/>
        </w:rPr>
      </w:pPr>
      <w:r w:rsidRPr="00EB2B9D">
        <w:rPr>
          <w:rFonts w:ascii="Arial" w:hAnsi="Arial" w:cs="Arial"/>
        </w:rPr>
        <w:t>The TPIF</w:t>
      </w:r>
      <w:r>
        <w:rPr>
          <w:rFonts w:ascii="Arial" w:hAnsi="Arial" w:cs="Arial"/>
        </w:rPr>
        <w:t xml:space="preserve"> </w:t>
      </w:r>
      <w:r w:rsidRPr="00EB2B9D">
        <w:rPr>
          <w:rFonts w:ascii="Arial" w:hAnsi="Arial" w:cs="Arial"/>
        </w:rPr>
        <w:t>recorded an underwriting profit of $</w:t>
      </w:r>
      <w:r>
        <w:rPr>
          <w:rFonts w:ascii="Arial" w:hAnsi="Arial" w:cs="Arial"/>
        </w:rPr>
        <w:t>26</w:t>
      </w:r>
      <w:r w:rsidRPr="00EB2B9D">
        <w:rPr>
          <w:rFonts w:ascii="Arial" w:hAnsi="Arial" w:cs="Arial"/>
        </w:rPr>
        <w:t xml:space="preserve"> million for 201</w:t>
      </w:r>
      <w:r>
        <w:rPr>
          <w:rFonts w:ascii="Arial" w:hAnsi="Arial" w:cs="Arial"/>
        </w:rPr>
        <w:t>8</w:t>
      </w:r>
      <w:r w:rsidRPr="00EB2B9D">
        <w:rPr>
          <w:rFonts w:ascii="Arial" w:hAnsi="Arial" w:cs="Arial"/>
        </w:rPr>
        <w:t xml:space="preserve"> compared to </w:t>
      </w:r>
      <w:r>
        <w:rPr>
          <w:rFonts w:ascii="Arial" w:hAnsi="Arial" w:cs="Arial"/>
        </w:rPr>
        <w:t>$20</w:t>
      </w:r>
      <w:r w:rsidRPr="00EB2B9D">
        <w:rPr>
          <w:rFonts w:ascii="Arial" w:hAnsi="Arial" w:cs="Arial"/>
        </w:rPr>
        <w:t xml:space="preserve"> million in 201</w:t>
      </w:r>
      <w:r>
        <w:rPr>
          <w:rFonts w:ascii="Arial" w:hAnsi="Arial" w:cs="Arial"/>
        </w:rPr>
        <w:t xml:space="preserve">7. </w:t>
      </w:r>
      <w:r w:rsidRPr="00EB2B9D">
        <w:rPr>
          <w:rFonts w:ascii="Arial" w:hAnsi="Arial" w:cs="Arial"/>
        </w:rPr>
        <w:t xml:space="preserve"> </w:t>
      </w:r>
    </w:p>
    <w:p w14:paraId="104A18FC" w14:textId="77777777" w:rsidR="00EE33A3" w:rsidRDefault="00EE33A3" w:rsidP="00EE33A3">
      <w:pPr>
        <w:rPr>
          <w:rFonts w:ascii="Arial" w:hAnsi="Arial" w:cs="Arial"/>
        </w:rPr>
      </w:pPr>
    </w:p>
    <w:p w14:paraId="05AD3253" w14:textId="77777777" w:rsidR="00EE33A3" w:rsidRDefault="00EE33A3" w:rsidP="00EE33A3">
      <w:pPr>
        <w:autoSpaceDE w:val="0"/>
        <w:autoSpaceDN w:val="0"/>
        <w:adjustRightInd w:val="0"/>
        <w:rPr>
          <w:rFonts w:ascii="Arial" w:hAnsi="Arial" w:cs="Arial"/>
          <w:lang w:val="en-US"/>
        </w:rPr>
      </w:pPr>
      <w:r w:rsidRPr="001E2879">
        <w:rPr>
          <w:rFonts w:ascii="Arial" w:hAnsi="Arial" w:cs="Arial"/>
          <w:lang w:val="en-US"/>
        </w:rPr>
        <w:t>Prior to 201</w:t>
      </w:r>
      <w:r>
        <w:rPr>
          <w:rFonts w:ascii="Arial" w:hAnsi="Arial" w:cs="Arial"/>
          <w:lang w:val="en-US"/>
        </w:rPr>
        <w:t>8</w:t>
      </w:r>
      <w:r w:rsidRPr="001E2879">
        <w:rPr>
          <w:rFonts w:ascii="Arial" w:hAnsi="Arial" w:cs="Arial"/>
          <w:lang w:val="en-US"/>
        </w:rPr>
        <w:t>, the TPIF had only made an</w:t>
      </w:r>
      <w:r>
        <w:rPr>
          <w:rFonts w:ascii="Arial" w:hAnsi="Arial" w:cs="Arial"/>
          <w:lang w:val="en-US"/>
        </w:rPr>
        <w:t xml:space="preserve"> </w:t>
      </w:r>
      <w:r w:rsidRPr="001E2879">
        <w:rPr>
          <w:rFonts w:ascii="Arial" w:hAnsi="Arial" w:cs="Arial"/>
          <w:lang w:val="en-US"/>
        </w:rPr>
        <w:t xml:space="preserve">underwriting profit in </w:t>
      </w:r>
      <w:r>
        <w:rPr>
          <w:rFonts w:ascii="Arial" w:hAnsi="Arial" w:cs="Arial"/>
          <w:lang w:val="en-US"/>
        </w:rPr>
        <w:t xml:space="preserve">five </w:t>
      </w:r>
      <w:r w:rsidRPr="001E2879">
        <w:rPr>
          <w:rFonts w:ascii="Arial" w:hAnsi="Arial" w:cs="Arial"/>
          <w:lang w:val="en-US"/>
        </w:rPr>
        <w:t>of the past 2</w:t>
      </w:r>
      <w:r>
        <w:rPr>
          <w:rFonts w:ascii="Arial" w:hAnsi="Arial" w:cs="Arial"/>
          <w:lang w:val="en-US"/>
        </w:rPr>
        <w:t>0</w:t>
      </w:r>
      <w:r w:rsidRPr="001E2879">
        <w:rPr>
          <w:rFonts w:ascii="Arial" w:hAnsi="Arial" w:cs="Arial"/>
          <w:lang w:val="en-US"/>
        </w:rPr>
        <w:t xml:space="preserve"> years</w:t>
      </w:r>
      <w:r>
        <w:rPr>
          <w:rFonts w:ascii="Arial" w:hAnsi="Arial" w:cs="Arial"/>
          <w:lang w:val="en-US"/>
        </w:rPr>
        <w:t xml:space="preserve"> (2001, 2003, 2005, 2013 and 2017)</w:t>
      </w:r>
      <w:r w:rsidRPr="001E2879">
        <w:rPr>
          <w:rFonts w:ascii="Arial" w:hAnsi="Arial" w:cs="Arial"/>
          <w:lang w:val="en-US"/>
        </w:rPr>
        <w:t>. This</w:t>
      </w:r>
      <w:r>
        <w:rPr>
          <w:rFonts w:ascii="Arial" w:hAnsi="Arial" w:cs="Arial"/>
          <w:lang w:val="en-US"/>
        </w:rPr>
        <w:t xml:space="preserve"> reflects</w:t>
      </w:r>
      <w:r w:rsidRPr="001E2879">
        <w:rPr>
          <w:rFonts w:ascii="Arial" w:hAnsi="Arial" w:cs="Arial"/>
          <w:lang w:val="en-US"/>
        </w:rPr>
        <w:t xml:space="preserve"> that motor injury insurance premium revenues</w:t>
      </w:r>
      <w:r>
        <w:rPr>
          <w:rFonts w:ascii="Arial" w:hAnsi="Arial" w:cs="Arial"/>
          <w:lang w:val="en-US"/>
        </w:rPr>
        <w:t xml:space="preserve"> </w:t>
      </w:r>
      <w:r w:rsidRPr="001E2879">
        <w:rPr>
          <w:rFonts w:ascii="Arial" w:hAnsi="Arial" w:cs="Arial"/>
          <w:lang w:val="en-US"/>
        </w:rPr>
        <w:t>have generally been insufficient to meet the cost of</w:t>
      </w:r>
      <w:r>
        <w:rPr>
          <w:rFonts w:ascii="Arial" w:hAnsi="Arial" w:cs="Arial"/>
          <w:lang w:val="en-US"/>
        </w:rPr>
        <w:t xml:space="preserve"> </w:t>
      </w:r>
      <w:r w:rsidRPr="001E2879">
        <w:rPr>
          <w:rFonts w:ascii="Arial" w:hAnsi="Arial" w:cs="Arial"/>
          <w:lang w:val="en-US"/>
        </w:rPr>
        <w:t>claims payments and management of the scheme.</w:t>
      </w:r>
      <w:r>
        <w:rPr>
          <w:rFonts w:ascii="Arial" w:hAnsi="Arial" w:cs="Arial"/>
          <w:lang w:val="en-US"/>
        </w:rPr>
        <w:t xml:space="preserve"> </w:t>
      </w:r>
    </w:p>
    <w:p w14:paraId="60704529" w14:textId="77777777" w:rsidR="00EE33A3" w:rsidRDefault="00EE33A3" w:rsidP="00EE33A3">
      <w:pPr>
        <w:autoSpaceDE w:val="0"/>
        <w:autoSpaceDN w:val="0"/>
        <w:adjustRightInd w:val="0"/>
        <w:rPr>
          <w:rFonts w:ascii="Arial" w:hAnsi="Arial" w:cs="Arial"/>
          <w:lang w:val="en-US"/>
        </w:rPr>
      </w:pPr>
    </w:p>
    <w:p w14:paraId="4E1A19C6" w14:textId="77777777" w:rsidR="00EE33A3" w:rsidRDefault="00EE33A3" w:rsidP="00EE33A3">
      <w:pPr>
        <w:autoSpaceDE w:val="0"/>
        <w:autoSpaceDN w:val="0"/>
        <w:adjustRightInd w:val="0"/>
        <w:rPr>
          <w:rFonts w:ascii="Arial" w:hAnsi="Arial" w:cs="Arial"/>
          <w:lang w:val="en-US"/>
        </w:rPr>
      </w:pPr>
      <w:r>
        <w:rPr>
          <w:rFonts w:ascii="Arial" w:hAnsi="Arial" w:cs="Arial"/>
          <w:lang w:val="en-US"/>
        </w:rPr>
        <w:t xml:space="preserve">The underwriting profit of $26 million is equivalent to 4.4% of premium revenue or 1.1% of outstanding claims liabilities. Movements in actuarial valuations of claims liabilities can have a significant impact on the underwriting position. A 1% movement </w:t>
      </w:r>
      <w:r>
        <w:rPr>
          <w:rFonts w:ascii="Arial" w:hAnsi="Arial" w:cs="Arial"/>
          <w:lang w:val="en-US"/>
        </w:rPr>
        <w:lastRenderedPageBreak/>
        <w:t>in discount or inflation rates would increase the TPIF’s outstanding claims liabilities (and reduce the Fund’s underwriting result) by approximately $78 million.</w:t>
      </w:r>
    </w:p>
    <w:p w14:paraId="5A5B9FA3" w14:textId="77777777" w:rsidR="00EE33A3" w:rsidRDefault="00EE33A3" w:rsidP="00EE33A3">
      <w:pPr>
        <w:rPr>
          <w:rFonts w:ascii="Arial" w:hAnsi="Arial" w:cs="Arial"/>
        </w:rPr>
      </w:pPr>
    </w:p>
    <w:p w14:paraId="080820D6" w14:textId="77777777" w:rsidR="00EE33A3" w:rsidRDefault="00EE33A3" w:rsidP="00EE33A3">
      <w:pPr>
        <w:autoSpaceDE w:val="0"/>
        <w:autoSpaceDN w:val="0"/>
        <w:adjustRightInd w:val="0"/>
        <w:rPr>
          <w:rFonts w:ascii="Arial" w:hAnsi="Arial" w:cs="Arial"/>
        </w:rPr>
      </w:pPr>
      <w:r w:rsidRPr="00A70F71">
        <w:rPr>
          <w:rFonts w:ascii="Arial" w:hAnsi="Arial" w:cs="Arial"/>
        </w:rPr>
        <w:t>The TPIF profit before tax was $</w:t>
      </w:r>
      <w:r>
        <w:rPr>
          <w:rFonts w:ascii="Arial" w:hAnsi="Arial" w:cs="Arial"/>
        </w:rPr>
        <w:t>331.2</w:t>
      </w:r>
      <w:r w:rsidRPr="00A70F71">
        <w:rPr>
          <w:rFonts w:ascii="Arial" w:hAnsi="Arial" w:cs="Arial"/>
        </w:rPr>
        <w:t xml:space="preserve"> million in</w:t>
      </w:r>
      <w:r>
        <w:rPr>
          <w:rFonts w:ascii="Arial" w:hAnsi="Arial" w:cs="Arial"/>
        </w:rPr>
        <w:t xml:space="preserve"> 2018</w:t>
      </w:r>
      <w:r w:rsidRPr="00A70F71">
        <w:rPr>
          <w:rFonts w:ascii="Arial" w:hAnsi="Arial" w:cs="Arial"/>
        </w:rPr>
        <w:t xml:space="preserve"> which was </w:t>
      </w:r>
      <w:r>
        <w:rPr>
          <w:rFonts w:ascii="Arial" w:hAnsi="Arial" w:cs="Arial"/>
        </w:rPr>
        <w:t>$11.4</w:t>
      </w:r>
      <w:r w:rsidRPr="00A70F71">
        <w:rPr>
          <w:rFonts w:ascii="Arial" w:hAnsi="Arial" w:cs="Arial"/>
        </w:rPr>
        <w:t xml:space="preserve"> million </w:t>
      </w:r>
      <w:r>
        <w:rPr>
          <w:rFonts w:ascii="Arial" w:hAnsi="Arial" w:cs="Arial"/>
        </w:rPr>
        <w:t>lower than the</w:t>
      </w:r>
      <w:r w:rsidRPr="00A70F71">
        <w:rPr>
          <w:rFonts w:ascii="Arial" w:hAnsi="Arial" w:cs="Arial"/>
        </w:rPr>
        <w:t xml:space="preserve"> </w:t>
      </w:r>
      <w:r>
        <w:rPr>
          <w:rFonts w:ascii="Arial" w:hAnsi="Arial" w:cs="Arial"/>
        </w:rPr>
        <w:t>$342.6 million result achieved in 2017</w:t>
      </w:r>
      <w:r w:rsidRPr="00A70F71">
        <w:rPr>
          <w:rFonts w:ascii="Arial" w:hAnsi="Arial" w:cs="Arial"/>
        </w:rPr>
        <w:t xml:space="preserve">. The </w:t>
      </w:r>
      <w:r>
        <w:rPr>
          <w:rFonts w:ascii="Arial" w:hAnsi="Arial" w:cs="Arial"/>
        </w:rPr>
        <w:t xml:space="preserve">TPIF’s strong </w:t>
      </w:r>
      <w:r w:rsidRPr="00A70F71">
        <w:rPr>
          <w:rFonts w:ascii="Arial" w:hAnsi="Arial" w:cs="Arial"/>
        </w:rPr>
        <w:t xml:space="preserve">financial performance was </w:t>
      </w:r>
      <w:r>
        <w:rPr>
          <w:rFonts w:ascii="Arial" w:hAnsi="Arial" w:cs="Arial"/>
        </w:rPr>
        <w:t xml:space="preserve">primarily </w:t>
      </w:r>
      <w:r w:rsidRPr="00A70F71">
        <w:rPr>
          <w:rFonts w:ascii="Arial" w:hAnsi="Arial" w:cs="Arial"/>
        </w:rPr>
        <w:t xml:space="preserve">due to </w:t>
      </w:r>
      <w:r>
        <w:rPr>
          <w:rFonts w:ascii="Arial" w:hAnsi="Arial" w:cs="Arial"/>
        </w:rPr>
        <w:t>investment income</w:t>
      </w:r>
      <w:r w:rsidRPr="00A70F71">
        <w:rPr>
          <w:rFonts w:ascii="Arial" w:hAnsi="Arial" w:cs="Arial"/>
        </w:rPr>
        <w:t xml:space="preserve"> </w:t>
      </w:r>
      <w:r>
        <w:rPr>
          <w:rFonts w:ascii="Arial" w:hAnsi="Arial" w:cs="Arial"/>
        </w:rPr>
        <w:t xml:space="preserve">received </w:t>
      </w:r>
      <w:r w:rsidRPr="00A70F71">
        <w:rPr>
          <w:rFonts w:ascii="Arial" w:hAnsi="Arial" w:cs="Arial"/>
        </w:rPr>
        <w:t>of $</w:t>
      </w:r>
      <w:r>
        <w:rPr>
          <w:rFonts w:ascii="Arial" w:hAnsi="Arial" w:cs="Arial"/>
        </w:rPr>
        <w:t>325.8</w:t>
      </w:r>
      <w:r w:rsidRPr="00A70F71">
        <w:rPr>
          <w:rFonts w:ascii="Arial" w:hAnsi="Arial" w:cs="Arial"/>
        </w:rPr>
        <w:t xml:space="preserve"> million</w:t>
      </w:r>
      <w:r>
        <w:rPr>
          <w:rFonts w:ascii="Arial" w:hAnsi="Arial" w:cs="Arial"/>
        </w:rPr>
        <w:t>.</w:t>
      </w:r>
      <w:r w:rsidRPr="00A70F71">
        <w:rPr>
          <w:rFonts w:ascii="Arial" w:hAnsi="Arial" w:cs="Arial"/>
        </w:rPr>
        <w:t xml:space="preserve"> </w:t>
      </w:r>
    </w:p>
    <w:p w14:paraId="3AE06571" w14:textId="77777777" w:rsidR="00EE33A3" w:rsidRPr="00EB2B9D" w:rsidRDefault="00EE33A3" w:rsidP="00EE33A3">
      <w:pPr>
        <w:rPr>
          <w:rFonts w:ascii="Arial" w:hAnsi="Arial" w:cs="Arial"/>
        </w:rPr>
      </w:pPr>
    </w:p>
    <w:p w14:paraId="4DA086A1" w14:textId="77777777" w:rsidR="00EE33A3" w:rsidRDefault="00EE33A3" w:rsidP="00EE33A3">
      <w:pPr>
        <w:rPr>
          <w:rFonts w:ascii="Arial" w:hAnsi="Arial" w:cs="Arial"/>
        </w:rPr>
      </w:pPr>
      <w:r w:rsidRPr="00257F8D">
        <w:rPr>
          <w:rFonts w:ascii="Arial" w:hAnsi="Arial" w:cs="Arial"/>
        </w:rPr>
        <w:t>The outstanding claims provision</w:t>
      </w:r>
      <w:r>
        <w:rPr>
          <w:rFonts w:ascii="Arial" w:hAnsi="Arial" w:cs="Arial"/>
        </w:rPr>
        <w:t xml:space="preserve"> (estimated cost of future claims)</w:t>
      </w:r>
      <w:r w:rsidRPr="00257F8D">
        <w:rPr>
          <w:rFonts w:ascii="Arial" w:hAnsi="Arial" w:cs="Arial"/>
        </w:rPr>
        <w:t xml:space="preserve"> for the TPIF </w:t>
      </w:r>
      <w:r w:rsidRPr="00553FBD">
        <w:rPr>
          <w:rFonts w:ascii="Arial" w:hAnsi="Arial" w:cs="Arial"/>
        </w:rPr>
        <w:t xml:space="preserve">grew to over </w:t>
      </w:r>
      <w:r>
        <w:rPr>
          <w:rFonts w:ascii="Arial" w:hAnsi="Arial" w:cs="Arial"/>
        </w:rPr>
        <w:t>$</w:t>
      </w:r>
      <w:r w:rsidRPr="00553FBD">
        <w:rPr>
          <w:rFonts w:ascii="Arial" w:hAnsi="Arial" w:cs="Arial"/>
        </w:rPr>
        <w:t>2.</w:t>
      </w:r>
      <w:r>
        <w:rPr>
          <w:rFonts w:ascii="Arial" w:hAnsi="Arial" w:cs="Arial"/>
        </w:rPr>
        <w:t>2</w:t>
      </w:r>
      <w:r w:rsidRPr="00553FBD">
        <w:rPr>
          <w:rFonts w:ascii="Arial" w:hAnsi="Arial" w:cs="Arial"/>
        </w:rPr>
        <w:t xml:space="preserve"> billion </w:t>
      </w:r>
      <w:r>
        <w:rPr>
          <w:rFonts w:ascii="Arial" w:hAnsi="Arial" w:cs="Arial"/>
        </w:rPr>
        <w:t xml:space="preserve">at </w:t>
      </w:r>
      <w:r w:rsidRPr="00257F8D">
        <w:rPr>
          <w:rFonts w:ascii="Arial" w:hAnsi="Arial" w:cs="Arial"/>
        </w:rPr>
        <w:t>30 June 201</w:t>
      </w:r>
      <w:r w:rsidRPr="00553FBD">
        <w:rPr>
          <w:rFonts w:ascii="Arial" w:hAnsi="Arial" w:cs="Arial"/>
        </w:rPr>
        <w:t>8</w:t>
      </w:r>
      <w:r w:rsidRPr="00257F8D">
        <w:rPr>
          <w:rFonts w:ascii="Arial" w:hAnsi="Arial" w:cs="Arial"/>
        </w:rPr>
        <w:t xml:space="preserve"> which was a $</w:t>
      </w:r>
      <w:r w:rsidRPr="00553FBD">
        <w:rPr>
          <w:rFonts w:ascii="Arial" w:hAnsi="Arial" w:cs="Arial"/>
        </w:rPr>
        <w:t>126.5</w:t>
      </w:r>
      <w:r w:rsidRPr="00257F8D">
        <w:rPr>
          <w:rFonts w:ascii="Arial" w:hAnsi="Arial" w:cs="Arial"/>
        </w:rPr>
        <w:t xml:space="preserve"> million increase </w:t>
      </w:r>
      <w:r>
        <w:rPr>
          <w:rFonts w:ascii="Arial" w:hAnsi="Arial" w:cs="Arial"/>
        </w:rPr>
        <w:t>from</w:t>
      </w:r>
      <w:r w:rsidRPr="00257F8D">
        <w:rPr>
          <w:rFonts w:ascii="Arial" w:hAnsi="Arial" w:cs="Arial"/>
        </w:rPr>
        <w:t xml:space="preserve"> 30 June 201</w:t>
      </w:r>
      <w:r w:rsidRPr="00553FBD">
        <w:rPr>
          <w:rFonts w:ascii="Arial" w:hAnsi="Arial" w:cs="Arial"/>
        </w:rPr>
        <w:t>7</w:t>
      </w:r>
      <w:r w:rsidRPr="00257F8D">
        <w:rPr>
          <w:rFonts w:ascii="Arial" w:hAnsi="Arial" w:cs="Arial"/>
        </w:rPr>
        <w:t xml:space="preserve">. </w:t>
      </w:r>
    </w:p>
    <w:p w14:paraId="22599B84" w14:textId="77777777" w:rsidR="00EE33A3" w:rsidRDefault="00EE33A3" w:rsidP="00EE33A3">
      <w:pPr>
        <w:rPr>
          <w:rFonts w:ascii="Arial" w:hAnsi="Arial" w:cs="Arial"/>
        </w:rPr>
      </w:pPr>
    </w:p>
    <w:p w14:paraId="62AFE64D" w14:textId="77777777" w:rsidR="00EE33A3" w:rsidRDefault="00EE33A3" w:rsidP="00EE33A3">
      <w:pPr>
        <w:rPr>
          <w:rFonts w:ascii="Arial" w:hAnsi="Arial" w:cs="Arial"/>
        </w:rPr>
      </w:pPr>
      <w:r>
        <w:rPr>
          <w:rFonts w:ascii="Arial" w:hAnsi="Arial" w:cs="Arial"/>
        </w:rPr>
        <w:t xml:space="preserve">The number of new CTP compensation claims received in 2018 was 3,191, which was 179 fewer new claims received in 2017. The 2017 new claims received result was the first time in 10 years that the number of new claims had increased. The 2018 result suggests the increase of new claims in 2017 was not the start of a multi-year trend.  </w:t>
      </w:r>
    </w:p>
    <w:p w14:paraId="1122FF87" w14:textId="77777777" w:rsidR="00EE33A3" w:rsidRDefault="00EE33A3" w:rsidP="00EE33A3">
      <w:pPr>
        <w:rPr>
          <w:rFonts w:ascii="Arial" w:hAnsi="Arial" w:cs="Arial"/>
        </w:rPr>
      </w:pPr>
    </w:p>
    <w:p w14:paraId="06B19292" w14:textId="77777777" w:rsidR="00EE33A3" w:rsidRDefault="00EE33A3" w:rsidP="00EE33A3">
      <w:pPr>
        <w:rPr>
          <w:rFonts w:ascii="Arial" w:hAnsi="Arial" w:cs="Arial"/>
        </w:rPr>
      </w:pPr>
      <w:r>
        <w:rPr>
          <w:rFonts w:ascii="Arial" w:hAnsi="Arial" w:cs="Arial"/>
        </w:rPr>
        <w:t xml:space="preserve">The number of minor injury claims received in 2018 was 8,588. </w:t>
      </w:r>
    </w:p>
    <w:p w14:paraId="6550AB2D" w14:textId="77777777" w:rsidR="00EE33A3" w:rsidRPr="00EB2B9D" w:rsidRDefault="00EE33A3" w:rsidP="00EE33A3">
      <w:pPr>
        <w:rPr>
          <w:rFonts w:ascii="Arial" w:hAnsi="Arial" w:cs="Arial"/>
        </w:rPr>
      </w:pPr>
    </w:p>
    <w:p w14:paraId="62C3C9C4" w14:textId="5E26F4FF" w:rsidR="00EE33A3" w:rsidRPr="002065F8" w:rsidRDefault="00EE33A3" w:rsidP="002065F8">
      <w:pPr>
        <w:pStyle w:val="ARHeading3"/>
        <w:pBdr>
          <w:top w:val="single" w:sz="4" w:space="1" w:color="auto"/>
          <w:left w:val="single" w:sz="4" w:space="4" w:color="auto"/>
          <w:bottom w:val="single" w:sz="4" w:space="1" w:color="auto"/>
          <w:right w:val="single" w:sz="4" w:space="4" w:color="auto"/>
        </w:pBdr>
        <w:rPr>
          <w:rStyle w:val="Arial12pt"/>
          <w:sz w:val="28"/>
        </w:rPr>
      </w:pPr>
      <w:r w:rsidRPr="002065F8">
        <w:rPr>
          <w:rStyle w:val="Arial12pt"/>
          <w:sz w:val="28"/>
        </w:rPr>
        <w:t>Mary’s CTP Claims Experience</w:t>
      </w:r>
      <w:r w:rsidRPr="002065F8">
        <w:rPr>
          <w:rStyle w:val="Arial12pt"/>
          <w:sz w:val="28"/>
        </w:rPr>
        <w:br/>
        <w:t xml:space="preserve"> </w:t>
      </w:r>
    </w:p>
    <w:p w14:paraId="0C205E0A" w14:textId="27F0DBA4"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szCs w:val="24"/>
        </w:rPr>
      </w:pPr>
      <w:r w:rsidRPr="002065F8">
        <w:rPr>
          <w:rStyle w:val="Arial12pt"/>
          <w:rFonts w:eastAsiaTheme="majorEastAsia"/>
          <w:szCs w:val="24"/>
        </w:rPr>
        <w:t>Mary</w:t>
      </w:r>
      <w:r w:rsidR="002065F8" w:rsidRPr="002065F8">
        <w:rPr>
          <w:rStyle w:val="Arial12pt"/>
          <w:rFonts w:eastAsiaTheme="majorEastAsia"/>
          <w:szCs w:val="24"/>
        </w:rPr>
        <w:t>*</w:t>
      </w:r>
      <w:r w:rsidRPr="002065F8">
        <w:rPr>
          <w:rStyle w:val="Arial12pt"/>
          <w:rFonts w:eastAsiaTheme="majorEastAsia"/>
          <w:szCs w:val="24"/>
        </w:rPr>
        <w:t xml:space="preserve"> was injured when her vehicle was struck from behind at high speed in Victoria Park. She was taken to Royal Perth Hospital via ambulance. Her injuries included whiplash, vertebrae misalignment, soft-tissue damage, blurred vision and chronic lower spine pain. </w:t>
      </w:r>
    </w:p>
    <w:p w14:paraId="50C46672"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szCs w:val="24"/>
        </w:rPr>
      </w:pPr>
    </w:p>
    <w:p w14:paraId="199B01D4" w14:textId="77777777" w:rsidR="00EE33A3" w:rsidRPr="002065F8" w:rsidRDefault="00EE33A3" w:rsidP="002065F8">
      <w:pPr>
        <w:pBdr>
          <w:top w:val="single" w:sz="4" w:space="1" w:color="auto"/>
          <w:left w:val="single" w:sz="4" w:space="4" w:color="auto"/>
          <w:bottom w:val="single" w:sz="4" w:space="1" w:color="auto"/>
          <w:right w:val="single" w:sz="4" w:space="4" w:color="auto"/>
        </w:pBdr>
        <w:rPr>
          <w:rFonts w:ascii="Arial" w:hAnsi="Arial" w:cs="Arial"/>
          <w:szCs w:val="24"/>
        </w:rPr>
      </w:pPr>
      <w:r w:rsidRPr="002065F8">
        <w:rPr>
          <w:rStyle w:val="Arial12pt"/>
          <w:rFonts w:eastAsiaTheme="majorEastAsia"/>
          <w:szCs w:val="24"/>
        </w:rPr>
        <w:t xml:space="preserve">Mary contacted the Insurance Commission to make a Compulsory Third Party (CTP) motor injury insurance claim. The Insurance Commission paid for Mary’s </w:t>
      </w:r>
      <w:r w:rsidRPr="002065F8">
        <w:rPr>
          <w:rFonts w:ascii="Arial" w:hAnsi="Arial" w:cs="Arial"/>
          <w:szCs w:val="24"/>
        </w:rPr>
        <w:t xml:space="preserve">hospital and subsequent rehabilitation costs. Mary also claimed compensation for time off work. </w:t>
      </w:r>
    </w:p>
    <w:p w14:paraId="6AA1D065"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szCs w:val="24"/>
        </w:rPr>
      </w:pPr>
    </w:p>
    <w:p w14:paraId="5CC49D3D"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szCs w:val="24"/>
        </w:rPr>
      </w:pPr>
      <w:r w:rsidRPr="002065F8">
        <w:rPr>
          <w:rStyle w:val="Arial12pt"/>
          <w:rFonts w:eastAsiaTheme="majorEastAsia"/>
          <w:szCs w:val="24"/>
        </w:rPr>
        <w:t>Mary provided feedback to the Insurance Commission on her claims experience.</w:t>
      </w:r>
    </w:p>
    <w:p w14:paraId="7DD1123C"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szCs w:val="24"/>
        </w:rPr>
      </w:pPr>
    </w:p>
    <w:p w14:paraId="58B58946"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i/>
          <w:szCs w:val="24"/>
        </w:rPr>
      </w:pPr>
      <w:r w:rsidRPr="002065F8">
        <w:rPr>
          <w:rStyle w:val="Arial12pt"/>
          <w:rFonts w:eastAsiaTheme="majorEastAsia"/>
          <w:i/>
          <w:szCs w:val="24"/>
        </w:rPr>
        <w:t>“As the claimant you must work towards rehabilitation and your CTP claims officer is there to support you through the claims process.</w:t>
      </w:r>
    </w:p>
    <w:p w14:paraId="47601779"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i/>
          <w:szCs w:val="24"/>
        </w:rPr>
      </w:pPr>
    </w:p>
    <w:p w14:paraId="4C715D04"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i/>
          <w:szCs w:val="24"/>
        </w:rPr>
      </w:pPr>
      <w:r w:rsidRPr="002065F8">
        <w:rPr>
          <w:rStyle w:val="Arial12pt"/>
          <w:rFonts w:eastAsiaTheme="majorEastAsia"/>
          <w:i/>
          <w:szCs w:val="24"/>
        </w:rPr>
        <w:t>“I had a positive attitude and with CTP assistance I have been able to follow a treatment plan.</w:t>
      </w:r>
    </w:p>
    <w:p w14:paraId="340A370C"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i/>
          <w:szCs w:val="24"/>
        </w:rPr>
      </w:pPr>
    </w:p>
    <w:p w14:paraId="06EEA3F9"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i/>
          <w:szCs w:val="24"/>
        </w:rPr>
      </w:pPr>
      <w:r w:rsidRPr="002065F8">
        <w:rPr>
          <w:rStyle w:val="Arial12pt"/>
          <w:rFonts w:eastAsiaTheme="majorEastAsia"/>
          <w:i/>
          <w:szCs w:val="24"/>
        </w:rPr>
        <w:t>“The Insurance Commission’s employees were always compassionate and kind. They treated me with dignity, as a person not a number.</w:t>
      </w:r>
    </w:p>
    <w:p w14:paraId="0C154E6B"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i/>
          <w:szCs w:val="24"/>
        </w:rPr>
      </w:pPr>
    </w:p>
    <w:p w14:paraId="286E12E0"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i/>
          <w:szCs w:val="24"/>
        </w:rPr>
      </w:pPr>
      <w:r w:rsidRPr="002065F8">
        <w:rPr>
          <w:rStyle w:val="Arial12pt"/>
          <w:rFonts w:eastAsiaTheme="majorEastAsia"/>
          <w:i/>
          <w:szCs w:val="24"/>
        </w:rPr>
        <w:t>“I would not have been able to fund the treatments I have had without the help from the CTP scheme.”</w:t>
      </w:r>
    </w:p>
    <w:p w14:paraId="21D6D11A"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szCs w:val="24"/>
        </w:rPr>
      </w:pPr>
    </w:p>
    <w:p w14:paraId="6998FBF0" w14:textId="17941B88"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szCs w:val="24"/>
        </w:rPr>
      </w:pPr>
      <w:r w:rsidRPr="002065F8">
        <w:rPr>
          <w:rStyle w:val="Arial12pt"/>
          <w:rFonts w:eastAsiaTheme="majorEastAsia"/>
          <w:szCs w:val="24"/>
        </w:rPr>
        <w:t xml:space="preserve">Mary is currently engaged in an injury rehabilitation program to help her return to work later in the year. </w:t>
      </w:r>
    </w:p>
    <w:p w14:paraId="2D0621BF" w14:textId="77777777" w:rsidR="00EE33A3" w:rsidRPr="002065F8" w:rsidRDefault="00EE33A3" w:rsidP="002065F8">
      <w:pPr>
        <w:pBdr>
          <w:top w:val="single" w:sz="4" w:space="1" w:color="auto"/>
          <w:left w:val="single" w:sz="4" w:space="4" w:color="auto"/>
          <w:bottom w:val="single" w:sz="4" w:space="1" w:color="auto"/>
          <w:right w:val="single" w:sz="4" w:space="4" w:color="auto"/>
        </w:pBdr>
        <w:rPr>
          <w:rStyle w:val="Arial12pt"/>
          <w:rFonts w:eastAsiaTheme="majorEastAsia"/>
          <w:szCs w:val="24"/>
        </w:rPr>
      </w:pPr>
    </w:p>
    <w:p w14:paraId="5F496F7B" w14:textId="1791D359" w:rsidR="00EE33A3" w:rsidRPr="00B47B50" w:rsidRDefault="002065F8" w:rsidP="002065F8">
      <w:pPr>
        <w:pBdr>
          <w:top w:val="single" w:sz="4" w:space="1" w:color="auto"/>
          <w:left w:val="single" w:sz="4" w:space="4" w:color="auto"/>
          <w:bottom w:val="single" w:sz="4" w:space="1" w:color="auto"/>
          <w:right w:val="single" w:sz="4" w:space="4" w:color="auto"/>
        </w:pBdr>
        <w:rPr>
          <w:rFonts w:ascii="Arial" w:hAnsi="Arial" w:cs="Arial"/>
          <w:i/>
          <w:sz w:val="20"/>
        </w:rPr>
      </w:pPr>
      <w:r w:rsidRPr="002065F8">
        <w:rPr>
          <w:rFonts w:ascii="Arial" w:hAnsi="Arial" w:cs="Arial"/>
          <w:i/>
          <w:sz w:val="20"/>
        </w:rPr>
        <w:t>*</w:t>
      </w:r>
      <w:r w:rsidR="00EE33A3" w:rsidRPr="002065F8">
        <w:rPr>
          <w:rFonts w:ascii="Arial" w:hAnsi="Arial" w:cs="Arial"/>
          <w:i/>
          <w:sz w:val="20"/>
        </w:rPr>
        <w:t>Name has been changed for privacy reasons.</w:t>
      </w:r>
    </w:p>
    <w:p w14:paraId="1F46AC62" w14:textId="77777777" w:rsidR="00EE33A3" w:rsidRDefault="00EE33A3" w:rsidP="00EE33A3">
      <w:pPr>
        <w:rPr>
          <w:rFonts w:ascii="Arial" w:hAnsi="Arial" w:cs="Arial"/>
        </w:rPr>
      </w:pPr>
    </w:p>
    <w:p w14:paraId="5065C8B6" w14:textId="77777777" w:rsidR="002065F8" w:rsidRDefault="002065F8" w:rsidP="00EE33A3">
      <w:pPr>
        <w:rPr>
          <w:rFonts w:ascii="Arial" w:hAnsi="Arial" w:cs="Arial"/>
        </w:rPr>
      </w:pPr>
    </w:p>
    <w:p w14:paraId="754FF840" w14:textId="77777777" w:rsidR="00EE33A3" w:rsidRPr="002065F8" w:rsidRDefault="00EE33A3" w:rsidP="002065F8">
      <w:pPr>
        <w:pStyle w:val="ARHeading3"/>
      </w:pPr>
      <w:r w:rsidRPr="002065F8">
        <w:lastRenderedPageBreak/>
        <w:t>Motor Vehicle (Catastrophic Injuries) Fund</w:t>
      </w:r>
    </w:p>
    <w:p w14:paraId="17F3A87D" w14:textId="77777777" w:rsidR="00EE33A3" w:rsidRDefault="00EE33A3" w:rsidP="00EE33A3">
      <w:pPr>
        <w:autoSpaceDE w:val="0"/>
        <w:autoSpaceDN w:val="0"/>
        <w:adjustRightInd w:val="0"/>
        <w:rPr>
          <w:rFonts w:ascii="Arial" w:hAnsi="Arial" w:cs="Arial"/>
        </w:rPr>
      </w:pPr>
      <w:r>
        <w:rPr>
          <w:rFonts w:ascii="Arial" w:hAnsi="Arial" w:cs="Arial"/>
        </w:rPr>
        <w:t xml:space="preserve">The </w:t>
      </w:r>
      <w:r w:rsidRPr="007669FA">
        <w:rPr>
          <w:rFonts w:ascii="Arial" w:hAnsi="Arial" w:cs="Arial"/>
        </w:rPr>
        <w:t>Motor Vehicle (Catastrophic Injuries) Fund (MVCIF)</w:t>
      </w:r>
      <w:r>
        <w:rPr>
          <w:rFonts w:ascii="Arial" w:hAnsi="Arial" w:cs="Arial"/>
        </w:rPr>
        <w:t xml:space="preserve"> is the Fund associated with the Catastrophic Injuries Support (CIS) scheme. The CIS scheme was introduced on 1 July 2016 to provide lifetime care and support to people catastrophically injured in crashes who are ineligible for CTP cover. </w:t>
      </w:r>
    </w:p>
    <w:p w14:paraId="799372FD" w14:textId="77777777" w:rsidR="00EE33A3" w:rsidRDefault="00EE33A3" w:rsidP="00EE33A3">
      <w:pPr>
        <w:rPr>
          <w:rFonts w:ascii="Arial" w:hAnsi="Arial" w:cs="Arial"/>
        </w:rPr>
      </w:pPr>
    </w:p>
    <w:p w14:paraId="28AF3ADD" w14:textId="77777777" w:rsidR="00EE33A3" w:rsidRDefault="00EE33A3" w:rsidP="00EE33A3">
      <w:pPr>
        <w:rPr>
          <w:rFonts w:ascii="Arial" w:hAnsi="Arial" w:cs="Arial"/>
        </w:rPr>
      </w:pPr>
      <w:r w:rsidRPr="007669FA">
        <w:rPr>
          <w:rFonts w:ascii="Arial" w:hAnsi="Arial" w:cs="Arial"/>
        </w:rPr>
        <w:t xml:space="preserve">The MVCIF recorded an underwriting </w:t>
      </w:r>
      <w:r>
        <w:rPr>
          <w:rFonts w:ascii="Arial" w:hAnsi="Arial" w:cs="Arial"/>
        </w:rPr>
        <w:t xml:space="preserve">profit of $37.6 </w:t>
      </w:r>
      <w:r w:rsidRPr="007669FA">
        <w:rPr>
          <w:rFonts w:ascii="Arial" w:hAnsi="Arial" w:cs="Arial"/>
        </w:rPr>
        <w:t xml:space="preserve">million in </w:t>
      </w:r>
      <w:r>
        <w:rPr>
          <w:rFonts w:ascii="Arial" w:hAnsi="Arial" w:cs="Arial"/>
        </w:rPr>
        <w:t xml:space="preserve">2018, compared to an underwriting loss of $98.1 million in its first year. </w:t>
      </w:r>
      <w:r w:rsidRPr="007669FA">
        <w:rPr>
          <w:rFonts w:ascii="Arial" w:hAnsi="Arial" w:cs="Arial"/>
        </w:rPr>
        <w:t>The principal reason for the</w:t>
      </w:r>
      <w:r>
        <w:rPr>
          <w:rFonts w:ascii="Arial" w:hAnsi="Arial" w:cs="Arial"/>
        </w:rPr>
        <w:t xml:space="preserve"> </w:t>
      </w:r>
      <w:r w:rsidRPr="007669FA">
        <w:rPr>
          <w:rFonts w:ascii="Arial" w:hAnsi="Arial" w:cs="Arial"/>
        </w:rPr>
        <w:t>underwriting loss</w:t>
      </w:r>
      <w:r>
        <w:rPr>
          <w:rFonts w:ascii="Arial" w:hAnsi="Arial" w:cs="Arial"/>
        </w:rPr>
        <w:t xml:space="preserve"> last year</w:t>
      </w:r>
      <w:r w:rsidRPr="007669FA">
        <w:rPr>
          <w:rFonts w:ascii="Arial" w:hAnsi="Arial" w:cs="Arial"/>
        </w:rPr>
        <w:t xml:space="preserve"> is </w:t>
      </w:r>
      <w:r>
        <w:rPr>
          <w:rFonts w:ascii="Arial" w:hAnsi="Arial" w:cs="Arial"/>
        </w:rPr>
        <w:t>that</w:t>
      </w:r>
      <w:r w:rsidRPr="007669FA">
        <w:rPr>
          <w:rFonts w:ascii="Arial" w:hAnsi="Arial" w:cs="Arial"/>
        </w:rPr>
        <w:t xml:space="preserve"> premium revenue </w:t>
      </w:r>
      <w:r>
        <w:rPr>
          <w:rFonts w:ascii="Arial" w:hAnsi="Arial" w:cs="Arial"/>
        </w:rPr>
        <w:t xml:space="preserve">was not </w:t>
      </w:r>
      <w:r w:rsidRPr="007669FA">
        <w:rPr>
          <w:rFonts w:ascii="Arial" w:hAnsi="Arial" w:cs="Arial"/>
        </w:rPr>
        <w:t>collected from motorists in advance of the CIS start</w:t>
      </w:r>
      <w:r>
        <w:rPr>
          <w:rFonts w:ascii="Arial" w:hAnsi="Arial" w:cs="Arial"/>
        </w:rPr>
        <w:t xml:space="preserve"> </w:t>
      </w:r>
      <w:r w:rsidRPr="007669FA">
        <w:rPr>
          <w:rFonts w:ascii="Arial" w:hAnsi="Arial" w:cs="Arial"/>
        </w:rPr>
        <w:t>date</w:t>
      </w:r>
      <w:r>
        <w:rPr>
          <w:rFonts w:ascii="Arial" w:hAnsi="Arial" w:cs="Arial"/>
        </w:rPr>
        <w:t>, which meant some motorists did not pay the full cost of the additional cover they received in the first year</w:t>
      </w:r>
      <w:r w:rsidRPr="007669FA">
        <w:rPr>
          <w:rFonts w:ascii="Arial" w:hAnsi="Arial" w:cs="Arial"/>
        </w:rPr>
        <w:t>.</w:t>
      </w:r>
      <w:r>
        <w:rPr>
          <w:rFonts w:ascii="Arial" w:hAnsi="Arial" w:cs="Arial"/>
        </w:rPr>
        <w:t xml:space="preserve"> </w:t>
      </w:r>
      <w:r w:rsidRPr="00AF791A">
        <w:rPr>
          <w:rFonts w:ascii="Arial" w:hAnsi="Arial" w:cs="Arial"/>
        </w:rPr>
        <w:t>In 2018, premium revenue was collected in full from motorists.</w:t>
      </w:r>
    </w:p>
    <w:p w14:paraId="6571F9F0" w14:textId="77777777" w:rsidR="00EE33A3" w:rsidRDefault="00EE33A3" w:rsidP="00EE33A3">
      <w:pPr>
        <w:rPr>
          <w:rFonts w:ascii="Arial" w:hAnsi="Arial" w:cs="Arial"/>
        </w:rPr>
      </w:pPr>
    </w:p>
    <w:p w14:paraId="608E5B3B" w14:textId="77777777" w:rsidR="00EE33A3" w:rsidRDefault="00EE33A3" w:rsidP="00EE33A3">
      <w:pPr>
        <w:rPr>
          <w:rFonts w:ascii="Arial" w:hAnsi="Arial" w:cs="Arial"/>
        </w:rPr>
      </w:pPr>
      <w:r w:rsidRPr="00E57F94">
        <w:rPr>
          <w:rFonts w:ascii="Arial" w:hAnsi="Arial" w:cs="Arial"/>
        </w:rPr>
        <w:t>The deficit in the MVCIF as a result of the 2017 underwriting loss was remedied through a $95.9 million capital transfer to the MVCIF from the Insurance Commission General Fund. This was able to be achieved as the sale of the Forrest Centre in 2016 freed up a significant asset revaluation reserve held against that building.</w:t>
      </w:r>
    </w:p>
    <w:p w14:paraId="504EC79D" w14:textId="77777777" w:rsidR="00EE33A3" w:rsidRDefault="00EE33A3" w:rsidP="00EE33A3">
      <w:pPr>
        <w:rPr>
          <w:rFonts w:ascii="Arial" w:hAnsi="Arial" w:cs="Arial"/>
        </w:rPr>
      </w:pPr>
    </w:p>
    <w:p w14:paraId="794CC26D" w14:textId="77777777" w:rsidR="00EE33A3" w:rsidRDefault="00EE33A3" w:rsidP="00EE33A3">
      <w:pPr>
        <w:rPr>
          <w:rFonts w:ascii="Arial" w:hAnsi="Arial" w:cs="Arial"/>
        </w:rPr>
      </w:pPr>
      <w:r w:rsidRPr="00977331">
        <w:rPr>
          <w:rFonts w:ascii="Arial" w:hAnsi="Arial" w:cs="Arial"/>
        </w:rPr>
        <w:t>A number of people with catastrophic injuries have experienced improvements in independence and functionality since returning home from hospital and participating in early rehabilitation paid for by the Insurance Commission. The improvement in the health of CIS participants and the res</w:t>
      </w:r>
      <w:r>
        <w:rPr>
          <w:rFonts w:ascii="Arial" w:hAnsi="Arial" w:cs="Arial"/>
        </w:rPr>
        <w:t>ulting actuarial adjustments were</w:t>
      </w:r>
      <w:r w:rsidRPr="00977331">
        <w:rPr>
          <w:rFonts w:ascii="Arial" w:hAnsi="Arial" w:cs="Arial"/>
        </w:rPr>
        <w:t xml:space="preserve"> the main reason for the MVCIF’s positive underwriting result.</w:t>
      </w:r>
    </w:p>
    <w:p w14:paraId="10CBBB1F" w14:textId="77777777" w:rsidR="00EE33A3" w:rsidRDefault="00EE33A3" w:rsidP="00EE33A3">
      <w:pPr>
        <w:rPr>
          <w:rFonts w:ascii="Arial" w:hAnsi="Arial" w:cs="Arial"/>
        </w:rPr>
      </w:pPr>
    </w:p>
    <w:p w14:paraId="72D660E9" w14:textId="77777777" w:rsidR="00EE33A3" w:rsidRDefault="00EE33A3" w:rsidP="00EE33A3">
      <w:pPr>
        <w:rPr>
          <w:rFonts w:ascii="Arial" w:hAnsi="Arial" w:cs="Arial"/>
          <w:lang w:val="en-US"/>
        </w:rPr>
      </w:pPr>
      <w:r>
        <w:rPr>
          <w:rFonts w:ascii="Arial" w:hAnsi="Arial" w:cs="Arial"/>
        </w:rPr>
        <w:t xml:space="preserve">In 2018, the Insurance Commission managed CIS claims valued at $297.4 million, </w:t>
      </w:r>
      <w:r w:rsidRPr="00C31729">
        <w:rPr>
          <w:rFonts w:ascii="Arial" w:hAnsi="Arial" w:cs="Arial"/>
        </w:rPr>
        <w:t>consisting of $</w:t>
      </w:r>
      <w:r>
        <w:rPr>
          <w:rFonts w:ascii="Arial" w:hAnsi="Arial" w:cs="Arial"/>
        </w:rPr>
        <w:t xml:space="preserve">10.2 </w:t>
      </w:r>
      <w:r w:rsidRPr="00C31729">
        <w:rPr>
          <w:rFonts w:ascii="Arial" w:hAnsi="Arial" w:cs="Arial"/>
        </w:rPr>
        <w:t xml:space="preserve">million </w:t>
      </w:r>
      <w:r>
        <w:rPr>
          <w:rFonts w:ascii="Arial" w:hAnsi="Arial" w:cs="Arial"/>
        </w:rPr>
        <w:t>paid for care and support costs</w:t>
      </w:r>
      <w:r w:rsidRPr="00C31729">
        <w:rPr>
          <w:rFonts w:ascii="Arial" w:hAnsi="Arial" w:cs="Arial"/>
        </w:rPr>
        <w:t xml:space="preserve"> to people injured in crashes, and anticipated future claims expenses of $</w:t>
      </w:r>
      <w:r>
        <w:rPr>
          <w:rFonts w:ascii="Arial" w:hAnsi="Arial" w:cs="Arial"/>
        </w:rPr>
        <w:t>287.2 million</w:t>
      </w:r>
      <w:r w:rsidRPr="00C31729">
        <w:rPr>
          <w:rFonts w:ascii="Arial" w:hAnsi="Arial" w:cs="Arial"/>
        </w:rPr>
        <w:t>.</w:t>
      </w:r>
      <w:r>
        <w:rPr>
          <w:rFonts w:ascii="Arial" w:hAnsi="Arial" w:cs="Arial"/>
        </w:rPr>
        <w:t xml:space="preserve"> </w:t>
      </w:r>
      <w:r w:rsidRPr="00E57F94">
        <w:rPr>
          <w:rFonts w:ascii="Arial" w:hAnsi="Arial" w:cs="Arial"/>
        </w:rPr>
        <w:t>Outstanding claims liabilities increased by $118.1 million in 2018, $66.6 million lower than the increase in 2017 ($184.7 million). In 2018, the actuarial valuation provided for</w:t>
      </w:r>
      <w:r>
        <w:rPr>
          <w:rFonts w:ascii="Arial" w:hAnsi="Arial" w:cs="Arial"/>
          <w:lang w:val="en-US"/>
        </w:rPr>
        <w:t xml:space="preserve"> improvements in the health of some people catastrophically injured, who initially were assessed as having more significant and high cost injuries following the crash.   </w:t>
      </w:r>
    </w:p>
    <w:p w14:paraId="2550C3E1" w14:textId="77777777" w:rsidR="00EE33A3" w:rsidRDefault="00EE33A3" w:rsidP="00EE33A3">
      <w:pPr>
        <w:rPr>
          <w:rFonts w:ascii="Arial" w:hAnsi="Arial" w:cs="Arial"/>
          <w:lang w:val="en-US"/>
        </w:rPr>
      </w:pPr>
    </w:p>
    <w:p w14:paraId="267764AF" w14:textId="77777777" w:rsidR="00EE33A3" w:rsidRDefault="00EE33A3" w:rsidP="00EE33A3">
      <w:pPr>
        <w:rPr>
          <w:rFonts w:ascii="Arial" w:hAnsi="Arial" w:cs="Arial"/>
        </w:rPr>
      </w:pPr>
      <w:r w:rsidRPr="007669FA">
        <w:rPr>
          <w:rFonts w:ascii="Arial" w:hAnsi="Arial" w:cs="Arial"/>
        </w:rPr>
        <w:t xml:space="preserve">The MVCIF delivered a </w:t>
      </w:r>
      <w:r>
        <w:rPr>
          <w:rFonts w:ascii="Arial" w:hAnsi="Arial" w:cs="Arial"/>
        </w:rPr>
        <w:t>profit</w:t>
      </w:r>
      <w:r w:rsidRPr="007669FA">
        <w:rPr>
          <w:rFonts w:ascii="Arial" w:hAnsi="Arial" w:cs="Arial"/>
        </w:rPr>
        <w:t xml:space="preserve"> before tax of $</w:t>
      </w:r>
      <w:r>
        <w:rPr>
          <w:rFonts w:ascii="Arial" w:hAnsi="Arial" w:cs="Arial"/>
        </w:rPr>
        <w:t>52.6 million in 2018</w:t>
      </w:r>
      <w:r w:rsidRPr="007669FA">
        <w:rPr>
          <w:rFonts w:ascii="Arial" w:hAnsi="Arial" w:cs="Arial"/>
        </w:rPr>
        <w:t xml:space="preserve">. </w:t>
      </w:r>
      <w:r>
        <w:rPr>
          <w:rFonts w:ascii="Arial" w:hAnsi="Arial" w:cs="Arial"/>
        </w:rPr>
        <w:t>Net i</w:t>
      </w:r>
      <w:r w:rsidRPr="007669FA">
        <w:rPr>
          <w:rFonts w:ascii="Arial" w:hAnsi="Arial" w:cs="Arial"/>
        </w:rPr>
        <w:t>nvestment income received for the</w:t>
      </w:r>
      <w:r>
        <w:rPr>
          <w:rFonts w:ascii="Arial" w:hAnsi="Arial" w:cs="Arial"/>
        </w:rPr>
        <w:t xml:space="preserve"> Fund in 2018</w:t>
      </w:r>
      <w:r w:rsidRPr="007669FA">
        <w:rPr>
          <w:rFonts w:ascii="Arial" w:hAnsi="Arial" w:cs="Arial"/>
        </w:rPr>
        <w:t xml:space="preserve"> was $</w:t>
      </w:r>
      <w:r>
        <w:rPr>
          <w:rFonts w:ascii="Arial" w:hAnsi="Arial" w:cs="Arial"/>
        </w:rPr>
        <w:t>15</w:t>
      </w:r>
      <w:r w:rsidRPr="007669FA">
        <w:rPr>
          <w:rFonts w:ascii="Arial" w:hAnsi="Arial" w:cs="Arial"/>
        </w:rPr>
        <w:t xml:space="preserve"> million.</w:t>
      </w:r>
    </w:p>
    <w:p w14:paraId="4D5E4E29" w14:textId="77777777" w:rsidR="00EE33A3" w:rsidRPr="00E57F94" w:rsidRDefault="00EE33A3" w:rsidP="00EE33A3">
      <w:pPr>
        <w:rPr>
          <w:rFonts w:ascii="Arial" w:hAnsi="Arial" w:cs="Arial"/>
        </w:rPr>
      </w:pPr>
    </w:p>
    <w:p w14:paraId="35E96AC3" w14:textId="77777777" w:rsidR="00EE33A3" w:rsidRDefault="00EE33A3" w:rsidP="00EE33A3">
      <w:pPr>
        <w:rPr>
          <w:rFonts w:ascii="Arial" w:hAnsi="Arial" w:cs="Arial"/>
        </w:rPr>
      </w:pPr>
      <w:r>
        <w:rPr>
          <w:rFonts w:ascii="Arial" w:hAnsi="Arial" w:cs="Arial"/>
        </w:rPr>
        <w:t xml:space="preserve">The MVCIF is expected to experience significant volatility in its financial results until a stage when the fund reaches a relative state of maturity. The CIS scheme was established only two years ago, and in its infancy </w:t>
      </w:r>
      <w:r w:rsidRPr="00E343DD">
        <w:rPr>
          <w:rFonts w:ascii="Arial" w:hAnsi="Arial" w:cs="Arial"/>
        </w:rPr>
        <w:t>variations from forecasts for   number of claimants and</w:t>
      </w:r>
      <w:r>
        <w:rPr>
          <w:rFonts w:ascii="Arial" w:hAnsi="Arial" w:cs="Arial"/>
        </w:rPr>
        <w:t xml:space="preserve"> </w:t>
      </w:r>
      <w:r w:rsidRPr="00E343DD">
        <w:rPr>
          <w:rFonts w:ascii="Arial" w:hAnsi="Arial" w:cs="Arial"/>
        </w:rPr>
        <w:t>their cost of care can have a material impact on the</w:t>
      </w:r>
      <w:r>
        <w:rPr>
          <w:rFonts w:ascii="Arial" w:hAnsi="Arial" w:cs="Arial"/>
        </w:rPr>
        <w:t xml:space="preserve"> financial performance of the f</w:t>
      </w:r>
      <w:r w:rsidRPr="00E343DD">
        <w:rPr>
          <w:rFonts w:ascii="Arial" w:hAnsi="Arial" w:cs="Arial"/>
        </w:rPr>
        <w:t>und.</w:t>
      </w:r>
    </w:p>
    <w:p w14:paraId="56B19BF2" w14:textId="77777777" w:rsidR="00EE33A3" w:rsidRDefault="00EE33A3" w:rsidP="00EE33A3">
      <w:pPr>
        <w:rPr>
          <w:rFonts w:ascii="Arial" w:hAnsi="Arial" w:cs="Arial"/>
        </w:rPr>
      </w:pPr>
    </w:p>
    <w:p w14:paraId="76B87C56" w14:textId="77777777" w:rsidR="00EE33A3" w:rsidRDefault="00EE33A3" w:rsidP="00EE33A3">
      <w:pPr>
        <w:rPr>
          <w:rFonts w:ascii="Arial" w:hAnsi="Arial" w:cs="Arial"/>
        </w:rPr>
      </w:pPr>
      <w:r w:rsidRPr="001C106A">
        <w:rPr>
          <w:rFonts w:ascii="Arial" w:hAnsi="Arial" w:cs="Arial"/>
        </w:rPr>
        <w:t>Motorists paid $99 in additional motor injury insurance premium for broader cover to include lifetime care for catastrophic injuries from a crash from 1 July 2016. The cost of catastrophic insurance at 1 July 2018 was $104, which reflects wage inflation.</w:t>
      </w:r>
    </w:p>
    <w:p w14:paraId="1E86DEE3" w14:textId="77777777" w:rsidR="00EE33A3" w:rsidRDefault="00EE33A3" w:rsidP="00EE33A3">
      <w:pPr>
        <w:rPr>
          <w:rFonts w:ascii="Arial" w:hAnsi="Arial" w:cs="Arial"/>
        </w:rPr>
      </w:pPr>
    </w:p>
    <w:p w14:paraId="372176D1" w14:textId="77777777" w:rsidR="00EE33A3" w:rsidRDefault="00EE33A3" w:rsidP="00EE33A3">
      <w:pPr>
        <w:rPr>
          <w:rFonts w:ascii="Arial" w:hAnsi="Arial" w:cs="Arial"/>
        </w:rPr>
      </w:pPr>
      <w:r>
        <w:rPr>
          <w:rFonts w:ascii="Arial" w:hAnsi="Arial" w:cs="Arial"/>
        </w:rPr>
        <w:t xml:space="preserve">Since the CIS scheme’s inception, 106 </w:t>
      </w:r>
      <w:r w:rsidRPr="007669FA">
        <w:rPr>
          <w:rFonts w:ascii="Arial" w:hAnsi="Arial" w:cs="Arial"/>
        </w:rPr>
        <w:t xml:space="preserve">people </w:t>
      </w:r>
      <w:r>
        <w:rPr>
          <w:rFonts w:ascii="Arial" w:hAnsi="Arial" w:cs="Arial"/>
        </w:rPr>
        <w:t xml:space="preserve">have been </w:t>
      </w:r>
      <w:r w:rsidRPr="007669FA">
        <w:rPr>
          <w:rFonts w:ascii="Arial" w:hAnsi="Arial" w:cs="Arial"/>
        </w:rPr>
        <w:t>assessed as eligible for</w:t>
      </w:r>
      <w:r>
        <w:rPr>
          <w:rFonts w:ascii="Arial" w:hAnsi="Arial" w:cs="Arial"/>
        </w:rPr>
        <w:t xml:space="preserve"> </w:t>
      </w:r>
      <w:r w:rsidRPr="007669FA">
        <w:rPr>
          <w:rFonts w:ascii="Arial" w:hAnsi="Arial" w:cs="Arial"/>
        </w:rPr>
        <w:t>treatment, care and support via either the CIS</w:t>
      </w:r>
      <w:r>
        <w:rPr>
          <w:rFonts w:ascii="Arial" w:hAnsi="Arial" w:cs="Arial"/>
        </w:rPr>
        <w:t xml:space="preserve"> </w:t>
      </w:r>
      <w:r w:rsidRPr="007669FA">
        <w:rPr>
          <w:rFonts w:ascii="Arial" w:hAnsi="Arial" w:cs="Arial"/>
        </w:rPr>
        <w:t>or CTP</w:t>
      </w:r>
      <w:r>
        <w:rPr>
          <w:rFonts w:ascii="Arial" w:hAnsi="Arial" w:cs="Arial"/>
        </w:rPr>
        <w:t xml:space="preserve"> schemes</w:t>
      </w:r>
      <w:r w:rsidRPr="007669FA">
        <w:rPr>
          <w:rFonts w:ascii="Arial" w:hAnsi="Arial" w:cs="Arial"/>
        </w:rPr>
        <w:t>.</w:t>
      </w:r>
      <w:r w:rsidRPr="00535E78">
        <w:t xml:space="preserve"> </w:t>
      </w:r>
      <w:r>
        <w:rPr>
          <w:rFonts w:ascii="Arial" w:hAnsi="Arial" w:cs="Arial"/>
        </w:rPr>
        <w:t>65</w:t>
      </w:r>
      <w:r w:rsidRPr="00535E78">
        <w:rPr>
          <w:rFonts w:ascii="Arial" w:hAnsi="Arial" w:cs="Arial"/>
        </w:rPr>
        <w:t xml:space="preserve"> </w:t>
      </w:r>
      <w:r>
        <w:rPr>
          <w:rFonts w:ascii="Arial" w:hAnsi="Arial" w:cs="Arial"/>
        </w:rPr>
        <w:t xml:space="preserve">of those </w:t>
      </w:r>
      <w:r w:rsidRPr="00535E78">
        <w:rPr>
          <w:rFonts w:ascii="Arial" w:hAnsi="Arial" w:cs="Arial"/>
        </w:rPr>
        <w:t>people were eligible for the CIS scheme as</w:t>
      </w:r>
      <w:r>
        <w:rPr>
          <w:rFonts w:ascii="Arial" w:hAnsi="Arial" w:cs="Arial"/>
        </w:rPr>
        <w:t xml:space="preserve"> </w:t>
      </w:r>
      <w:r w:rsidRPr="00535E78">
        <w:rPr>
          <w:rFonts w:ascii="Arial" w:hAnsi="Arial" w:cs="Arial"/>
        </w:rPr>
        <w:t>there was no other driver identified at fault in the</w:t>
      </w:r>
      <w:r>
        <w:rPr>
          <w:rFonts w:ascii="Arial" w:hAnsi="Arial" w:cs="Arial"/>
        </w:rPr>
        <w:t xml:space="preserve"> </w:t>
      </w:r>
      <w:r w:rsidRPr="00535E78">
        <w:rPr>
          <w:rFonts w:ascii="Arial" w:hAnsi="Arial" w:cs="Arial"/>
        </w:rPr>
        <w:t xml:space="preserve">crash, and </w:t>
      </w:r>
      <w:r>
        <w:rPr>
          <w:rFonts w:ascii="Arial" w:hAnsi="Arial" w:cs="Arial"/>
        </w:rPr>
        <w:t>41</w:t>
      </w:r>
      <w:r w:rsidRPr="00535E78">
        <w:rPr>
          <w:rFonts w:ascii="Arial" w:hAnsi="Arial" w:cs="Arial"/>
        </w:rPr>
        <w:t xml:space="preserve"> people were eligible for the CTP</w:t>
      </w:r>
      <w:r>
        <w:rPr>
          <w:rFonts w:ascii="Arial" w:hAnsi="Arial" w:cs="Arial"/>
        </w:rPr>
        <w:t xml:space="preserve"> </w:t>
      </w:r>
      <w:r w:rsidRPr="00535E78">
        <w:rPr>
          <w:rFonts w:ascii="Arial" w:hAnsi="Arial" w:cs="Arial"/>
        </w:rPr>
        <w:t xml:space="preserve">scheme as their injuries were caused </w:t>
      </w:r>
      <w:r w:rsidRPr="00535E78">
        <w:rPr>
          <w:rFonts w:ascii="Arial" w:hAnsi="Arial" w:cs="Arial"/>
        </w:rPr>
        <w:lastRenderedPageBreak/>
        <w:t>by the fault</w:t>
      </w:r>
      <w:r>
        <w:rPr>
          <w:rFonts w:ascii="Arial" w:hAnsi="Arial" w:cs="Arial"/>
        </w:rPr>
        <w:t xml:space="preserve"> </w:t>
      </w:r>
      <w:r w:rsidRPr="00535E78">
        <w:rPr>
          <w:rFonts w:ascii="Arial" w:hAnsi="Arial" w:cs="Arial"/>
        </w:rPr>
        <w:t>of another driver.</w:t>
      </w:r>
      <w:r>
        <w:rPr>
          <w:rFonts w:ascii="Arial" w:hAnsi="Arial" w:cs="Arial"/>
        </w:rPr>
        <w:t xml:space="preserve"> One of those people has subsequently died and three people with CTP compensation claims settled.</w:t>
      </w:r>
    </w:p>
    <w:p w14:paraId="19D80D4A" w14:textId="77777777" w:rsidR="00EE33A3" w:rsidRDefault="00EE33A3" w:rsidP="00EE33A3">
      <w:pPr>
        <w:rPr>
          <w:rFonts w:ascii="Arial" w:hAnsi="Arial" w:cs="Arial"/>
        </w:rPr>
      </w:pPr>
    </w:p>
    <w:p w14:paraId="10828FCD" w14:textId="77777777" w:rsidR="00EE33A3" w:rsidRDefault="00EE33A3" w:rsidP="00EE33A3">
      <w:pPr>
        <w:rPr>
          <w:rFonts w:ascii="Arial" w:hAnsi="Arial" w:cs="Arial"/>
        </w:rPr>
      </w:pPr>
      <w:r w:rsidRPr="00095406">
        <w:rPr>
          <w:rFonts w:ascii="Arial" w:hAnsi="Arial" w:cs="Arial"/>
        </w:rPr>
        <w:t>Five CIS scheme participants had their participation suspended, either because they moved overseas or chose not to participate. One CIS scheme participant is currently imprisoned</w:t>
      </w:r>
      <w:r>
        <w:rPr>
          <w:rFonts w:ascii="Arial" w:hAnsi="Arial" w:cs="Arial"/>
        </w:rPr>
        <w:t>; the Department of Corrective Services is responsible for the care and support costs for that person.</w:t>
      </w:r>
    </w:p>
    <w:p w14:paraId="7BD35C9F" w14:textId="77777777" w:rsidR="00EE33A3" w:rsidRDefault="00EE33A3" w:rsidP="00EE33A3">
      <w:pPr>
        <w:rPr>
          <w:rFonts w:ascii="Arial" w:hAnsi="Arial" w:cs="Arial"/>
        </w:rPr>
      </w:pPr>
    </w:p>
    <w:p w14:paraId="769545F5" w14:textId="77777777" w:rsidR="00EE33A3" w:rsidRDefault="00EE33A3" w:rsidP="00EE33A3">
      <w:pPr>
        <w:rPr>
          <w:rFonts w:ascii="Arial" w:hAnsi="Arial" w:cs="Arial"/>
        </w:rPr>
      </w:pPr>
      <w:r w:rsidRPr="00E57F94">
        <w:rPr>
          <w:rFonts w:ascii="Arial" w:hAnsi="Arial" w:cs="Arial"/>
        </w:rPr>
        <w:t>The CIS scheme has been able to achie</w:t>
      </w:r>
      <w:r>
        <w:rPr>
          <w:rFonts w:ascii="Arial" w:hAnsi="Arial" w:cs="Arial"/>
        </w:rPr>
        <w:t>ve better economic outcomes than</w:t>
      </w:r>
      <w:r w:rsidRPr="00E57F94">
        <w:rPr>
          <w:rFonts w:ascii="Arial" w:hAnsi="Arial" w:cs="Arial"/>
        </w:rPr>
        <w:t xml:space="preserve"> was initially </w:t>
      </w:r>
      <w:r>
        <w:rPr>
          <w:rFonts w:ascii="Arial" w:hAnsi="Arial" w:cs="Arial"/>
        </w:rPr>
        <w:t>anticipated</w:t>
      </w:r>
      <w:r w:rsidRPr="00E57F94">
        <w:rPr>
          <w:rFonts w:ascii="Arial" w:hAnsi="Arial" w:cs="Arial"/>
        </w:rPr>
        <w:t xml:space="preserve"> in the areas of return to work and accommodation. For example, </w:t>
      </w:r>
      <w:r>
        <w:rPr>
          <w:rFonts w:ascii="Arial" w:hAnsi="Arial" w:cs="Arial"/>
        </w:rPr>
        <w:t>at 30 June 2018, 28</w:t>
      </w:r>
      <w:r w:rsidRPr="00E57F94">
        <w:rPr>
          <w:rFonts w:ascii="Arial" w:hAnsi="Arial" w:cs="Arial"/>
        </w:rPr>
        <w:t xml:space="preserve"> CIS scheme part</w:t>
      </w:r>
      <w:r>
        <w:rPr>
          <w:rFonts w:ascii="Arial" w:hAnsi="Arial" w:cs="Arial"/>
        </w:rPr>
        <w:t>icipants had returned to work, we</w:t>
      </w:r>
      <w:r w:rsidRPr="00E57F94">
        <w:rPr>
          <w:rFonts w:ascii="Arial" w:hAnsi="Arial" w:cs="Arial"/>
        </w:rPr>
        <w:t xml:space="preserve">re in return-to-work programs, or were studying following their crash. That is an exceptional outcome given many of those people received a catastrophic injury from a car crash less than two years ago. </w:t>
      </w:r>
    </w:p>
    <w:p w14:paraId="57A9AE21" w14:textId="77777777" w:rsidR="00EE33A3" w:rsidRDefault="00EE33A3" w:rsidP="00EE33A3">
      <w:pPr>
        <w:rPr>
          <w:rFonts w:ascii="Arial" w:hAnsi="Arial" w:cs="Arial"/>
        </w:rPr>
      </w:pPr>
    </w:p>
    <w:p w14:paraId="238A1802" w14:textId="77777777" w:rsidR="00EE33A3" w:rsidRDefault="00EE33A3" w:rsidP="00EE33A3">
      <w:pPr>
        <w:rPr>
          <w:rFonts w:ascii="Arial" w:hAnsi="Arial" w:cs="Arial"/>
        </w:rPr>
      </w:pPr>
      <w:r w:rsidRPr="00E57F94">
        <w:rPr>
          <w:rFonts w:ascii="Arial" w:hAnsi="Arial" w:cs="Arial"/>
        </w:rPr>
        <w:t>Only two CIS scheme participants were newly accessing Commonw</w:t>
      </w:r>
      <w:r>
        <w:rPr>
          <w:rFonts w:ascii="Arial" w:hAnsi="Arial" w:cs="Arial"/>
        </w:rPr>
        <w:t xml:space="preserve">ealth Centrelink services as a </w:t>
      </w:r>
      <w:r w:rsidRPr="00E57F94">
        <w:rPr>
          <w:rFonts w:ascii="Arial" w:hAnsi="Arial" w:cs="Arial"/>
        </w:rPr>
        <w:t xml:space="preserve">result of injuries sustained in the crash. The CIS scheme provides funding for home modifications and transitional support to help people with catastrophic injuries return home from hospital following emergency treatment after the crash. At 30 June 2018, </w:t>
      </w:r>
      <w:r>
        <w:rPr>
          <w:rFonts w:ascii="Arial" w:hAnsi="Arial" w:cs="Arial"/>
        </w:rPr>
        <w:t xml:space="preserve">49 </w:t>
      </w:r>
      <w:r w:rsidRPr="00E57F94">
        <w:rPr>
          <w:rFonts w:ascii="Arial" w:hAnsi="Arial" w:cs="Arial"/>
        </w:rPr>
        <w:t>CIS scheme participants had returned home from hospital</w:t>
      </w:r>
      <w:r>
        <w:rPr>
          <w:rFonts w:ascii="Arial" w:hAnsi="Arial" w:cs="Arial"/>
        </w:rPr>
        <w:t xml:space="preserve">, and only one participant was </w:t>
      </w:r>
      <w:r w:rsidRPr="00E57F94">
        <w:rPr>
          <w:rFonts w:ascii="Arial" w:hAnsi="Arial" w:cs="Arial"/>
        </w:rPr>
        <w:t>newly accessing public housing.</w:t>
      </w:r>
    </w:p>
    <w:p w14:paraId="03C7CD69" w14:textId="77777777" w:rsidR="00EE33A3" w:rsidRDefault="00EE33A3" w:rsidP="00EE33A3">
      <w:pPr>
        <w:rPr>
          <w:rFonts w:ascii="Arial" w:hAnsi="Arial" w:cs="Arial"/>
        </w:rPr>
      </w:pPr>
      <w:r>
        <w:rPr>
          <w:rFonts w:ascii="Arial" w:hAnsi="Arial" w:cs="Arial"/>
        </w:rPr>
        <w:t xml:space="preserve"> </w:t>
      </w:r>
    </w:p>
    <w:p w14:paraId="231FEFF7" w14:textId="77777777" w:rsidR="00EE33A3" w:rsidRDefault="00EE33A3" w:rsidP="00EE33A3">
      <w:pPr>
        <w:rPr>
          <w:rFonts w:ascii="Arial" w:hAnsi="Arial" w:cs="Arial"/>
        </w:rPr>
      </w:pPr>
      <w:r w:rsidRPr="00CB11E5">
        <w:rPr>
          <w:rFonts w:ascii="Arial" w:hAnsi="Arial" w:cs="Arial"/>
        </w:rPr>
        <w:t xml:space="preserve">A summary of scheme performance and statistics </w:t>
      </w:r>
      <w:r>
        <w:rPr>
          <w:rFonts w:ascii="Arial" w:hAnsi="Arial" w:cs="Arial"/>
        </w:rPr>
        <w:t>is shown on the following page</w:t>
      </w:r>
      <w:r w:rsidRPr="00CB11E5">
        <w:rPr>
          <w:rFonts w:ascii="Arial" w:hAnsi="Arial" w:cs="Arial"/>
        </w:rPr>
        <w:t>.</w:t>
      </w:r>
    </w:p>
    <w:p w14:paraId="1B45A0C3" w14:textId="77777777" w:rsidR="00EE33A3" w:rsidRDefault="00EE33A3" w:rsidP="00EE33A3">
      <w:pPr>
        <w:rPr>
          <w:rFonts w:ascii="Arial" w:hAnsi="Arial" w:cs="Arial"/>
        </w:rPr>
      </w:pPr>
    </w:p>
    <w:p w14:paraId="59351DFF" w14:textId="77777777" w:rsidR="00EE33A3" w:rsidRDefault="00EE33A3" w:rsidP="00EE33A3">
      <w:pPr>
        <w:rPr>
          <w:rFonts w:ascii="Arial" w:hAnsi="Arial" w:cs="Arial"/>
        </w:rPr>
      </w:pPr>
      <w:r>
        <w:rPr>
          <w:rFonts w:ascii="Arial" w:hAnsi="Arial" w:cs="Arial"/>
        </w:rPr>
        <w:t xml:space="preserve">Over the next 12 months, a number of scheme clients will reach the end of their two year interim participation period and, as required by the </w:t>
      </w:r>
      <w:r w:rsidRPr="00553FBD">
        <w:rPr>
          <w:rFonts w:ascii="Arial" w:hAnsi="Arial" w:cs="Arial"/>
          <w:i/>
        </w:rPr>
        <w:t>Motor Vehicle (Catastrophic Injuries) Act 2016</w:t>
      </w:r>
      <w:r>
        <w:rPr>
          <w:rFonts w:ascii="Arial" w:hAnsi="Arial" w:cs="Arial"/>
        </w:rPr>
        <w:t xml:space="preserve">, will need to be assessed for eligibility for lifetime participation in the CIS scheme. It is anticipated that a number of clients will have recovered to a point where they are no longer catastrophically injured, which is an excellent outcome for them, and therefore they will no longer qualify for participation in the CIS scheme. </w:t>
      </w:r>
    </w:p>
    <w:p w14:paraId="65CCB293" w14:textId="77777777" w:rsidR="00EE33A3" w:rsidRDefault="00EE33A3" w:rsidP="00EE33A3">
      <w:pPr>
        <w:rPr>
          <w:rFonts w:ascii="Arial" w:hAnsi="Arial" w:cs="Arial"/>
        </w:rPr>
      </w:pPr>
    </w:p>
    <w:p w14:paraId="78EBA3AA" w14:textId="59494F67" w:rsidR="00EE33A3" w:rsidRPr="002065F8" w:rsidRDefault="002065F8" w:rsidP="002065F8">
      <w:pPr>
        <w:pStyle w:val="ARHeading3"/>
        <w:rPr>
          <w:rStyle w:val="Arial12pt"/>
          <w:b w:val="0"/>
          <w:i/>
        </w:rPr>
      </w:pPr>
      <w:r w:rsidRPr="002065F8">
        <w:rPr>
          <w:rStyle w:val="Arial12pt"/>
          <w:b w:val="0"/>
          <w:i/>
        </w:rPr>
        <w:t>Infographic - Number of People with Catastrophic Injuries Managed or Funded at 30 June 2018</w:t>
      </w:r>
    </w:p>
    <w:p w14:paraId="337E7EE9" w14:textId="77777777" w:rsidR="00EE33A3" w:rsidRPr="002065F8" w:rsidRDefault="00EE33A3" w:rsidP="00EE33A3">
      <w:pPr>
        <w:rPr>
          <w:rFonts w:ascii="Arial" w:hAnsi="Arial" w:cs="Arial"/>
        </w:rPr>
      </w:pPr>
      <w:r w:rsidRPr="002065F8">
        <w:rPr>
          <w:rFonts w:ascii="Arial" w:hAnsi="Arial" w:cs="Arial"/>
        </w:rPr>
        <w:t>Catastrophic injuries are defined as spinal cord injuries, traumatic brain injuries, multiple amputations, severe burns and permanent traumatic blindness.</w:t>
      </w:r>
    </w:p>
    <w:p w14:paraId="16D785EB" w14:textId="77777777" w:rsidR="00EE33A3" w:rsidRPr="002065F8" w:rsidRDefault="00EE33A3" w:rsidP="00EE33A3">
      <w:pPr>
        <w:rPr>
          <w:rFonts w:ascii="Arial" w:hAnsi="Arial" w:cs="Arial"/>
        </w:rPr>
      </w:pPr>
    </w:p>
    <w:p w14:paraId="6539479C" w14:textId="77777777" w:rsidR="00EE33A3" w:rsidRPr="002065F8" w:rsidRDefault="00EE33A3" w:rsidP="00EE33A3">
      <w:pPr>
        <w:rPr>
          <w:rFonts w:ascii="Arial" w:hAnsi="Arial" w:cs="Arial"/>
        </w:rPr>
      </w:pPr>
      <w:r w:rsidRPr="002065F8">
        <w:rPr>
          <w:rFonts w:ascii="Arial" w:hAnsi="Arial" w:cs="Arial"/>
        </w:rPr>
        <w:t>Catastrophic Injuries</w:t>
      </w:r>
    </w:p>
    <w:p w14:paraId="617D1133" w14:textId="77777777" w:rsidR="00EE33A3" w:rsidRPr="002065F8" w:rsidRDefault="00EE33A3" w:rsidP="00EE33A3">
      <w:pPr>
        <w:rPr>
          <w:rFonts w:ascii="Arial" w:hAnsi="Arial" w:cs="Arial"/>
        </w:rPr>
      </w:pPr>
      <w:r w:rsidRPr="002065F8">
        <w:rPr>
          <w:rFonts w:ascii="Arial" w:hAnsi="Arial" w:cs="Arial"/>
        </w:rPr>
        <w:t>Total (since 2017) – 102</w:t>
      </w:r>
    </w:p>
    <w:p w14:paraId="1609B017" w14:textId="77777777" w:rsidR="00EE33A3" w:rsidRPr="002065F8" w:rsidRDefault="00EE33A3" w:rsidP="00EE33A3">
      <w:pPr>
        <w:rPr>
          <w:rFonts w:ascii="Arial" w:hAnsi="Arial" w:cs="Arial"/>
        </w:rPr>
      </w:pPr>
      <w:r w:rsidRPr="002065F8">
        <w:rPr>
          <w:rFonts w:ascii="Arial" w:hAnsi="Arial" w:cs="Arial"/>
        </w:rPr>
        <w:t>2018 – 58</w:t>
      </w:r>
    </w:p>
    <w:p w14:paraId="0CB51EAD" w14:textId="77777777" w:rsidR="00EE33A3" w:rsidRPr="002065F8" w:rsidRDefault="00EE33A3" w:rsidP="00EE33A3">
      <w:pPr>
        <w:rPr>
          <w:rFonts w:ascii="Arial" w:hAnsi="Arial" w:cs="Arial"/>
        </w:rPr>
      </w:pPr>
    </w:p>
    <w:p w14:paraId="1B668ECB" w14:textId="77777777" w:rsidR="00EE33A3" w:rsidRPr="002065F8" w:rsidRDefault="00EE33A3" w:rsidP="00EE33A3">
      <w:pPr>
        <w:rPr>
          <w:rFonts w:ascii="Arial" w:hAnsi="Arial" w:cs="Arial"/>
        </w:rPr>
      </w:pPr>
      <w:r w:rsidRPr="002065F8">
        <w:rPr>
          <w:rFonts w:ascii="Arial" w:hAnsi="Arial" w:cs="Arial"/>
        </w:rPr>
        <w:t xml:space="preserve">CIS scheme </w:t>
      </w:r>
    </w:p>
    <w:p w14:paraId="4880C136" w14:textId="77777777" w:rsidR="00EE33A3" w:rsidRPr="002065F8" w:rsidRDefault="00EE33A3" w:rsidP="00EE33A3">
      <w:pPr>
        <w:rPr>
          <w:rFonts w:ascii="Arial" w:hAnsi="Arial" w:cs="Arial"/>
        </w:rPr>
      </w:pPr>
      <w:r w:rsidRPr="002065F8">
        <w:rPr>
          <w:rFonts w:ascii="Arial" w:hAnsi="Arial" w:cs="Arial"/>
        </w:rPr>
        <w:t>Total (since 2017) – 64</w:t>
      </w:r>
    </w:p>
    <w:p w14:paraId="0E8108B1" w14:textId="77777777" w:rsidR="00EE33A3" w:rsidRPr="002065F8" w:rsidRDefault="00EE33A3" w:rsidP="00EE33A3">
      <w:pPr>
        <w:rPr>
          <w:rFonts w:ascii="Arial" w:hAnsi="Arial" w:cs="Arial"/>
        </w:rPr>
      </w:pPr>
      <w:r w:rsidRPr="002065F8">
        <w:rPr>
          <w:rFonts w:ascii="Arial" w:hAnsi="Arial" w:cs="Arial"/>
        </w:rPr>
        <w:t>2018 – 39</w:t>
      </w:r>
    </w:p>
    <w:p w14:paraId="07371A23" w14:textId="77777777" w:rsidR="00EE33A3" w:rsidRPr="002065F8" w:rsidRDefault="00EE33A3" w:rsidP="00EE33A3">
      <w:pPr>
        <w:rPr>
          <w:rFonts w:ascii="Arial" w:hAnsi="Arial" w:cs="Arial"/>
        </w:rPr>
      </w:pPr>
    </w:p>
    <w:p w14:paraId="67F26E27" w14:textId="77777777" w:rsidR="00EE33A3" w:rsidRPr="002065F8" w:rsidRDefault="00EE33A3" w:rsidP="00EE33A3">
      <w:pPr>
        <w:rPr>
          <w:rFonts w:ascii="Arial" w:hAnsi="Arial" w:cs="Arial"/>
        </w:rPr>
      </w:pPr>
      <w:r w:rsidRPr="002065F8">
        <w:rPr>
          <w:rFonts w:ascii="Arial" w:hAnsi="Arial" w:cs="Arial"/>
        </w:rPr>
        <w:t>CTP scheme</w:t>
      </w:r>
    </w:p>
    <w:p w14:paraId="5A78CC45" w14:textId="77777777" w:rsidR="00EE33A3" w:rsidRPr="002065F8" w:rsidRDefault="00EE33A3" w:rsidP="00EE33A3">
      <w:pPr>
        <w:rPr>
          <w:rFonts w:ascii="Arial" w:hAnsi="Arial" w:cs="Arial"/>
        </w:rPr>
      </w:pPr>
      <w:r w:rsidRPr="002065F8">
        <w:rPr>
          <w:rFonts w:ascii="Arial" w:hAnsi="Arial" w:cs="Arial"/>
        </w:rPr>
        <w:t>Total (since 2017) – 38</w:t>
      </w:r>
    </w:p>
    <w:p w14:paraId="674167CD" w14:textId="77777777" w:rsidR="00EE33A3" w:rsidRPr="002065F8" w:rsidRDefault="00EE33A3" w:rsidP="00EE33A3">
      <w:pPr>
        <w:rPr>
          <w:rFonts w:ascii="Arial" w:hAnsi="Arial" w:cs="Arial"/>
        </w:rPr>
      </w:pPr>
      <w:r w:rsidRPr="002065F8">
        <w:rPr>
          <w:rFonts w:ascii="Arial" w:hAnsi="Arial" w:cs="Arial"/>
        </w:rPr>
        <w:t>2018 - 19</w:t>
      </w:r>
    </w:p>
    <w:p w14:paraId="53382386" w14:textId="77777777" w:rsidR="00EE33A3" w:rsidRPr="002065F8" w:rsidRDefault="00EE33A3" w:rsidP="00EE33A3">
      <w:pPr>
        <w:rPr>
          <w:rFonts w:ascii="Arial" w:hAnsi="Arial" w:cs="Arial"/>
        </w:rPr>
      </w:pPr>
    </w:p>
    <w:p w14:paraId="2BB7B5C8" w14:textId="77777777" w:rsidR="00EE33A3" w:rsidRPr="002065F8" w:rsidRDefault="00EE33A3" w:rsidP="00EE33A3">
      <w:pPr>
        <w:rPr>
          <w:rFonts w:ascii="Arial" w:hAnsi="Arial" w:cs="Arial"/>
        </w:rPr>
      </w:pPr>
      <w:r w:rsidRPr="002065F8">
        <w:rPr>
          <w:rFonts w:ascii="Arial" w:hAnsi="Arial" w:cs="Arial"/>
        </w:rPr>
        <w:t>14 potential catastrophic injury cases were awaiting eligibility assessments at 30 June 2018.</w:t>
      </w:r>
    </w:p>
    <w:p w14:paraId="41C574ED" w14:textId="77777777" w:rsidR="00EE33A3" w:rsidRPr="002065F8" w:rsidRDefault="00EE33A3" w:rsidP="00EE33A3">
      <w:pPr>
        <w:rPr>
          <w:rFonts w:ascii="Arial" w:hAnsi="Arial" w:cs="Arial"/>
        </w:rPr>
      </w:pPr>
    </w:p>
    <w:p w14:paraId="4F237593" w14:textId="77777777" w:rsidR="00EE33A3" w:rsidRPr="002065F8" w:rsidRDefault="00EE33A3" w:rsidP="00EE33A3">
      <w:pPr>
        <w:rPr>
          <w:rFonts w:ascii="Arial" w:hAnsi="Arial" w:cs="Arial"/>
        </w:rPr>
      </w:pPr>
      <w:r w:rsidRPr="002065F8">
        <w:rPr>
          <w:rFonts w:ascii="Arial" w:hAnsi="Arial" w:cs="Arial"/>
        </w:rPr>
        <w:t>Acquired brain injury – 79%</w:t>
      </w:r>
    </w:p>
    <w:p w14:paraId="1E625B33" w14:textId="77777777" w:rsidR="00EE33A3" w:rsidRPr="002065F8" w:rsidRDefault="00EE33A3" w:rsidP="00EE33A3">
      <w:pPr>
        <w:rPr>
          <w:rFonts w:ascii="Arial" w:hAnsi="Arial" w:cs="Arial"/>
        </w:rPr>
      </w:pPr>
      <w:r w:rsidRPr="002065F8">
        <w:rPr>
          <w:rFonts w:ascii="Arial" w:hAnsi="Arial" w:cs="Arial"/>
        </w:rPr>
        <w:t>Spinal injuries – 19%</w:t>
      </w:r>
    </w:p>
    <w:p w14:paraId="3E51825A" w14:textId="77777777" w:rsidR="00EE33A3" w:rsidRPr="002065F8" w:rsidRDefault="00EE33A3" w:rsidP="00EE33A3">
      <w:pPr>
        <w:rPr>
          <w:rFonts w:ascii="Arial" w:hAnsi="Arial" w:cs="Arial"/>
        </w:rPr>
      </w:pPr>
      <w:r w:rsidRPr="002065F8">
        <w:rPr>
          <w:rFonts w:ascii="Arial" w:hAnsi="Arial" w:cs="Arial"/>
        </w:rPr>
        <w:t>Other – 2%</w:t>
      </w:r>
    </w:p>
    <w:p w14:paraId="580293D4" w14:textId="77777777" w:rsidR="00EE33A3" w:rsidRPr="002065F8" w:rsidRDefault="00EE33A3" w:rsidP="00EE33A3">
      <w:pPr>
        <w:rPr>
          <w:rFonts w:ascii="Arial" w:hAnsi="Arial" w:cs="Arial"/>
        </w:rPr>
      </w:pPr>
    </w:p>
    <w:p w14:paraId="75EE23C0" w14:textId="77777777" w:rsidR="00EE33A3" w:rsidRPr="002065F8" w:rsidRDefault="00EE33A3" w:rsidP="00EE33A3">
      <w:pPr>
        <w:rPr>
          <w:rFonts w:ascii="Arial" w:hAnsi="Arial" w:cs="Arial"/>
        </w:rPr>
      </w:pPr>
      <w:r w:rsidRPr="002065F8">
        <w:rPr>
          <w:rFonts w:ascii="Arial" w:hAnsi="Arial" w:cs="Arial"/>
        </w:rPr>
        <w:t>Catastrophic injury – Gender</w:t>
      </w:r>
    </w:p>
    <w:p w14:paraId="4BDE60A1" w14:textId="77777777" w:rsidR="00EE33A3" w:rsidRPr="002065F8" w:rsidRDefault="00EE33A3" w:rsidP="00EE33A3">
      <w:pPr>
        <w:rPr>
          <w:rFonts w:ascii="Arial" w:hAnsi="Arial" w:cs="Arial"/>
        </w:rPr>
      </w:pPr>
      <w:r w:rsidRPr="002065F8">
        <w:rPr>
          <w:rFonts w:ascii="Arial" w:hAnsi="Arial" w:cs="Arial"/>
        </w:rPr>
        <w:t>Male – 76</w:t>
      </w:r>
    </w:p>
    <w:p w14:paraId="2D2DDF46" w14:textId="77777777" w:rsidR="00EE33A3" w:rsidRPr="002065F8" w:rsidRDefault="00EE33A3" w:rsidP="00EE33A3">
      <w:pPr>
        <w:rPr>
          <w:rFonts w:ascii="Arial" w:hAnsi="Arial" w:cs="Arial"/>
        </w:rPr>
      </w:pPr>
      <w:r w:rsidRPr="002065F8">
        <w:rPr>
          <w:rFonts w:ascii="Arial" w:hAnsi="Arial" w:cs="Arial"/>
        </w:rPr>
        <w:t>Female – 26</w:t>
      </w:r>
    </w:p>
    <w:p w14:paraId="53DB51A7" w14:textId="77777777" w:rsidR="00EE33A3" w:rsidRPr="002065F8" w:rsidRDefault="00EE33A3" w:rsidP="00EE33A3">
      <w:pPr>
        <w:rPr>
          <w:rFonts w:ascii="Arial" w:hAnsi="Arial" w:cs="Arial"/>
        </w:rPr>
      </w:pPr>
    </w:p>
    <w:p w14:paraId="1FD8499D" w14:textId="77777777" w:rsidR="00EE33A3" w:rsidRPr="002065F8" w:rsidRDefault="00EE33A3" w:rsidP="00EE33A3">
      <w:pPr>
        <w:rPr>
          <w:rFonts w:ascii="Arial" w:hAnsi="Arial" w:cs="Arial"/>
        </w:rPr>
      </w:pPr>
      <w:r w:rsidRPr="002065F8">
        <w:rPr>
          <w:rFonts w:ascii="Arial" w:hAnsi="Arial" w:cs="Arial"/>
        </w:rPr>
        <w:t>Crash locations</w:t>
      </w:r>
    </w:p>
    <w:p w14:paraId="478CCCA0" w14:textId="77777777" w:rsidR="00EE33A3" w:rsidRPr="002065F8" w:rsidRDefault="00EE33A3" w:rsidP="00EE33A3">
      <w:pPr>
        <w:rPr>
          <w:rFonts w:ascii="Arial" w:hAnsi="Arial" w:cs="Arial"/>
        </w:rPr>
      </w:pPr>
      <w:r w:rsidRPr="002065F8">
        <w:rPr>
          <w:rFonts w:ascii="Arial" w:hAnsi="Arial" w:cs="Arial"/>
        </w:rPr>
        <w:t xml:space="preserve">48% of catastrophic injuries occurred in regional areas but only 38% of people catastrophically injured live there. The South West had the highest claim frequency, with 16 crashes resulting in catastrophic injury. </w:t>
      </w:r>
    </w:p>
    <w:p w14:paraId="7F92DFA0" w14:textId="77777777" w:rsidR="00EE33A3" w:rsidRPr="002065F8" w:rsidRDefault="00EE33A3" w:rsidP="00EE33A3">
      <w:pPr>
        <w:rPr>
          <w:rFonts w:ascii="Arial" w:hAnsi="Arial" w:cs="Arial"/>
        </w:rPr>
      </w:pPr>
    </w:p>
    <w:p w14:paraId="409A0498" w14:textId="77777777" w:rsidR="00EE33A3" w:rsidRPr="002065F8" w:rsidRDefault="00EE33A3" w:rsidP="00EE33A3">
      <w:pPr>
        <w:rPr>
          <w:rFonts w:ascii="Arial" w:hAnsi="Arial" w:cs="Arial"/>
        </w:rPr>
      </w:pPr>
      <w:r w:rsidRPr="002065F8">
        <w:rPr>
          <w:rFonts w:ascii="Arial" w:hAnsi="Arial" w:cs="Arial"/>
        </w:rPr>
        <w:t>Returning to Work</w:t>
      </w:r>
    </w:p>
    <w:p w14:paraId="6FAF24A4" w14:textId="77777777" w:rsidR="00EE33A3" w:rsidRPr="002065F8" w:rsidRDefault="00EE33A3" w:rsidP="00EE33A3">
      <w:pPr>
        <w:rPr>
          <w:rFonts w:ascii="Arial" w:hAnsi="Arial" w:cs="Arial"/>
        </w:rPr>
      </w:pPr>
      <w:r w:rsidRPr="002065F8">
        <w:rPr>
          <w:rFonts w:ascii="Arial" w:hAnsi="Arial" w:cs="Arial"/>
        </w:rPr>
        <w:t xml:space="preserve">14 CIS participants have returned to work (full or part-time). </w:t>
      </w:r>
    </w:p>
    <w:p w14:paraId="2D1D9739" w14:textId="77777777" w:rsidR="00EE33A3" w:rsidRPr="002065F8" w:rsidRDefault="00EE33A3" w:rsidP="00EE33A3">
      <w:pPr>
        <w:rPr>
          <w:rFonts w:ascii="Arial" w:hAnsi="Arial" w:cs="Arial"/>
        </w:rPr>
      </w:pPr>
      <w:r w:rsidRPr="002065F8">
        <w:rPr>
          <w:rFonts w:ascii="Arial" w:hAnsi="Arial" w:cs="Arial"/>
        </w:rPr>
        <w:t xml:space="preserve">14 CIS participants were in return-to-work programs or studying. </w:t>
      </w:r>
    </w:p>
    <w:p w14:paraId="633F320F" w14:textId="77777777" w:rsidR="00EE33A3" w:rsidRPr="002065F8" w:rsidRDefault="00EE33A3" w:rsidP="00EE33A3">
      <w:pPr>
        <w:rPr>
          <w:rFonts w:ascii="Arial" w:hAnsi="Arial" w:cs="Arial"/>
        </w:rPr>
      </w:pPr>
      <w:r w:rsidRPr="002065F8">
        <w:rPr>
          <w:rFonts w:ascii="Arial" w:hAnsi="Arial" w:cs="Arial"/>
        </w:rPr>
        <w:t>15 CIS participants were engaged in early rehabilitation with the objective to enable a return to work.</w:t>
      </w:r>
    </w:p>
    <w:p w14:paraId="0A7046D0" w14:textId="77777777" w:rsidR="00EE33A3" w:rsidRPr="002065F8" w:rsidRDefault="00EE33A3" w:rsidP="00EE33A3">
      <w:pPr>
        <w:rPr>
          <w:rFonts w:ascii="Arial" w:hAnsi="Arial" w:cs="Arial"/>
        </w:rPr>
      </w:pPr>
    </w:p>
    <w:p w14:paraId="1059597B" w14:textId="77777777" w:rsidR="00EE33A3" w:rsidRPr="002065F8" w:rsidRDefault="00EE33A3" w:rsidP="00EE33A3">
      <w:pPr>
        <w:rPr>
          <w:rFonts w:ascii="Arial" w:hAnsi="Arial" w:cs="Arial"/>
        </w:rPr>
      </w:pPr>
      <w:r w:rsidRPr="002065F8">
        <w:rPr>
          <w:rFonts w:ascii="Arial" w:hAnsi="Arial" w:cs="Arial"/>
        </w:rPr>
        <w:t>Accommodation</w:t>
      </w:r>
    </w:p>
    <w:p w14:paraId="4ECA74D6" w14:textId="77777777" w:rsidR="00EE33A3" w:rsidRPr="002065F8" w:rsidRDefault="00EE33A3" w:rsidP="00EE33A3">
      <w:pPr>
        <w:rPr>
          <w:rFonts w:ascii="Arial" w:hAnsi="Arial" w:cs="Arial"/>
        </w:rPr>
      </w:pPr>
      <w:r w:rsidRPr="002065F8">
        <w:rPr>
          <w:rFonts w:ascii="Arial" w:hAnsi="Arial" w:cs="Arial"/>
        </w:rPr>
        <w:t xml:space="preserve">49 CIS participants have returned home following treatment after their crash. </w:t>
      </w:r>
    </w:p>
    <w:p w14:paraId="47F11593" w14:textId="77777777" w:rsidR="00EE33A3" w:rsidRPr="002065F8" w:rsidRDefault="00EE33A3" w:rsidP="00EE33A3">
      <w:pPr>
        <w:rPr>
          <w:rFonts w:ascii="Arial" w:hAnsi="Arial" w:cs="Arial"/>
        </w:rPr>
      </w:pPr>
    </w:p>
    <w:p w14:paraId="06D58E75" w14:textId="77777777" w:rsidR="00EE33A3" w:rsidRPr="002065F8" w:rsidRDefault="00EE33A3" w:rsidP="00EE33A3">
      <w:pPr>
        <w:rPr>
          <w:rFonts w:ascii="Arial" w:hAnsi="Arial" w:cs="Arial"/>
        </w:rPr>
      </w:pPr>
      <w:r w:rsidRPr="002065F8">
        <w:rPr>
          <w:rFonts w:ascii="Arial" w:hAnsi="Arial" w:cs="Arial"/>
        </w:rPr>
        <w:t>Catastrophic injury – Age</w:t>
      </w:r>
    </w:p>
    <w:p w14:paraId="49C6E11D" w14:textId="77777777" w:rsidR="00EE33A3" w:rsidRPr="002065F8" w:rsidRDefault="00EE33A3" w:rsidP="00EE33A3">
      <w:pPr>
        <w:rPr>
          <w:rFonts w:ascii="Arial" w:hAnsi="Arial" w:cs="Arial"/>
        </w:rPr>
      </w:pPr>
      <w:r w:rsidRPr="002065F8">
        <w:rPr>
          <w:rFonts w:ascii="Arial" w:hAnsi="Arial" w:cs="Arial"/>
        </w:rPr>
        <w:t>0-14 years – 7</w:t>
      </w:r>
    </w:p>
    <w:p w14:paraId="6DB701BB" w14:textId="77777777" w:rsidR="00EE33A3" w:rsidRPr="002065F8" w:rsidRDefault="00EE33A3" w:rsidP="00EE33A3">
      <w:pPr>
        <w:rPr>
          <w:rFonts w:ascii="Arial" w:hAnsi="Arial" w:cs="Arial"/>
        </w:rPr>
      </w:pPr>
      <w:r w:rsidRPr="002065F8">
        <w:rPr>
          <w:rFonts w:ascii="Arial" w:hAnsi="Arial" w:cs="Arial"/>
        </w:rPr>
        <w:t>15-24 years – 28</w:t>
      </w:r>
    </w:p>
    <w:p w14:paraId="20CA47DD" w14:textId="77777777" w:rsidR="00EE33A3" w:rsidRPr="002065F8" w:rsidRDefault="00EE33A3" w:rsidP="00EE33A3">
      <w:pPr>
        <w:rPr>
          <w:rFonts w:ascii="Arial" w:hAnsi="Arial" w:cs="Arial"/>
        </w:rPr>
      </w:pPr>
      <w:r w:rsidRPr="002065F8">
        <w:rPr>
          <w:rFonts w:ascii="Arial" w:hAnsi="Arial" w:cs="Arial"/>
        </w:rPr>
        <w:t>25-34 years – 24</w:t>
      </w:r>
    </w:p>
    <w:p w14:paraId="0B33B68A" w14:textId="77777777" w:rsidR="00EE33A3" w:rsidRPr="002065F8" w:rsidRDefault="00EE33A3" w:rsidP="00EE33A3">
      <w:pPr>
        <w:rPr>
          <w:rFonts w:ascii="Arial" w:hAnsi="Arial" w:cs="Arial"/>
        </w:rPr>
      </w:pPr>
      <w:r w:rsidRPr="002065F8">
        <w:rPr>
          <w:rFonts w:ascii="Arial" w:hAnsi="Arial" w:cs="Arial"/>
        </w:rPr>
        <w:t>35-44 years – 13</w:t>
      </w:r>
    </w:p>
    <w:p w14:paraId="59EE8A06" w14:textId="77777777" w:rsidR="00EE33A3" w:rsidRPr="002065F8" w:rsidRDefault="00EE33A3" w:rsidP="00EE33A3">
      <w:pPr>
        <w:rPr>
          <w:rFonts w:ascii="Arial" w:hAnsi="Arial" w:cs="Arial"/>
        </w:rPr>
      </w:pPr>
      <w:r w:rsidRPr="002065F8">
        <w:rPr>
          <w:rFonts w:ascii="Arial" w:hAnsi="Arial" w:cs="Arial"/>
        </w:rPr>
        <w:t>45-44 years – 10</w:t>
      </w:r>
    </w:p>
    <w:p w14:paraId="2F31E35E" w14:textId="77777777" w:rsidR="00EE33A3" w:rsidRPr="002065F8" w:rsidRDefault="00EE33A3" w:rsidP="00EE33A3">
      <w:pPr>
        <w:rPr>
          <w:rFonts w:ascii="Arial" w:hAnsi="Arial" w:cs="Arial"/>
        </w:rPr>
      </w:pPr>
      <w:r w:rsidRPr="002065F8">
        <w:rPr>
          <w:rFonts w:ascii="Arial" w:hAnsi="Arial" w:cs="Arial"/>
        </w:rPr>
        <w:t>55-64 years – 8</w:t>
      </w:r>
    </w:p>
    <w:p w14:paraId="27EC692A" w14:textId="77777777" w:rsidR="00EE33A3" w:rsidRPr="002065F8" w:rsidRDefault="00EE33A3" w:rsidP="00EE33A3">
      <w:pPr>
        <w:rPr>
          <w:rFonts w:ascii="Arial" w:hAnsi="Arial" w:cs="Arial"/>
        </w:rPr>
      </w:pPr>
      <w:r w:rsidRPr="002065F8">
        <w:rPr>
          <w:rFonts w:ascii="Arial" w:hAnsi="Arial" w:cs="Arial"/>
        </w:rPr>
        <w:t>65+ years – 12</w:t>
      </w:r>
    </w:p>
    <w:p w14:paraId="338B25D5" w14:textId="77777777" w:rsidR="00EE33A3" w:rsidRDefault="00EE33A3" w:rsidP="00EE33A3">
      <w:pPr>
        <w:rPr>
          <w:rFonts w:ascii="Arial" w:hAnsi="Arial" w:cs="Arial"/>
        </w:rPr>
      </w:pPr>
    </w:p>
    <w:p w14:paraId="7C373158" w14:textId="77777777" w:rsidR="00EE33A3" w:rsidRDefault="00EE33A3" w:rsidP="00EE33A3">
      <w:pPr>
        <w:rPr>
          <w:rFonts w:ascii="Arial" w:hAnsi="Arial" w:cs="Arial"/>
        </w:rPr>
      </w:pPr>
    </w:p>
    <w:p w14:paraId="6C6CFC6B" w14:textId="6AE009DB" w:rsidR="00EE33A3" w:rsidRPr="007753CF" w:rsidRDefault="00EE33A3" w:rsidP="007753CF">
      <w:pPr>
        <w:pStyle w:val="ARHeading3"/>
        <w:pBdr>
          <w:top w:val="single" w:sz="4" w:space="1" w:color="auto"/>
          <w:left w:val="single" w:sz="4" w:space="4" w:color="auto"/>
          <w:bottom w:val="single" w:sz="4" w:space="1" w:color="auto"/>
          <w:right w:val="single" w:sz="4" w:space="4" w:color="auto"/>
        </w:pBdr>
      </w:pPr>
      <w:r w:rsidRPr="007753CF">
        <w:t>Working together with our service providers</w:t>
      </w:r>
    </w:p>
    <w:p w14:paraId="2C1C9407"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p>
    <w:p w14:paraId="5F678D75"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r w:rsidRPr="007753CF">
        <w:rPr>
          <w:rFonts w:ascii="Arial" w:hAnsi="Arial" w:cs="Arial"/>
          <w:szCs w:val="24"/>
        </w:rPr>
        <w:t xml:space="preserve">The Insurance Commission invited over 300 service providers to its two Motor Vehicle Catastrophic Injuries Support (CIS) scheme workshops during 2018. The purpose of the workshops was to update service providers on scheme performance and to seek feedback on the scheme after almost two years. </w:t>
      </w:r>
    </w:p>
    <w:p w14:paraId="22AAB532"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p>
    <w:p w14:paraId="09F60407"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r w:rsidRPr="007753CF">
        <w:rPr>
          <w:rFonts w:ascii="Arial" w:hAnsi="Arial" w:cs="Arial"/>
          <w:szCs w:val="24"/>
        </w:rPr>
        <w:t xml:space="preserve">The workshops were held in partnership with National Disability Services WA, an organisation that was a key advocate for the introduction of the CIS scheme. </w:t>
      </w:r>
    </w:p>
    <w:p w14:paraId="3E05313F"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p>
    <w:p w14:paraId="683F1A45"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r w:rsidRPr="007753CF">
        <w:rPr>
          <w:rFonts w:ascii="Arial" w:hAnsi="Arial" w:cs="Arial"/>
          <w:szCs w:val="24"/>
        </w:rPr>
        <w:t xml:space="preserve">The workshops were held around the two-year anniversary of the scheme that commenced on 1 July 2016. The scheme ensures that all people catastrophically injured in crashes can access lifetime care and support. </w:t>
      </w:r>
    </w:p>
    <w:p w14:paraId="57DFC7D8"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p>
    <w:p w14:paraId="3F029032"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r w:rsidRPr="007753CF">
        <w:rPr>
          <w:rFonts w:ascii="Arial" w:hAnsi="Arial" w:cs="Arial"/>
          <w:szCs w:val="24"/>
        </w:rPr>
        <w:lastRenderedPageBreak/>
        <w:t xml:space="preserve">Overall, feedback from service providers is positive and they appreciated the opportunity to engage face-to-face with Insurance Commission staff to ensure quality outcomes are maintained for its clients.   </w:t>
      </w:r>
    </w:p>
    <w:p w14:paraId="6062A920"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p>
    <w:p w14:paraId="43FF1E18"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r w:rsidRPr="007753CF">
        <w:rPr>
          <w:rFonts w:ascii="Arial" w:hAnsi="Arial" w:cs="Arial"/>
          <w:szCs w:val="24"/>
        </w:rPr>
        <w:t xml:space="preserve">Providers identified some opportunities for improvement in the areas of billing and administration. The Insurance Commission undertaking work to further improve efficiencies of invoicing to the payment process. </w:t>
      </w:r>
    </w:p>
    <w:p w14:paraId="2D326705"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p>
    <w:p w14:paraId="01A6FEAA"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r w:rsidRPr="007753CF">
        <w:rPr>
          <w:rFonts w:ascii="Arial" w:hAnsi="Arial" w:cs="Arial"/>
          <w:szCs w:val="24"/>
        </w:rPr>
        <w:t xml:space="preserve">These workshops continue the engagement program with the health and disability community, initiated during consultation to introduce the CIS scheme. </w:t>
      </w:r>
    </w:p>
    <w:p w14:paraId="7E847D0C"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p>
    <w:p w14:paraId="3BBE2587" w14:textId="77777777" w:rsidR="00EE33A3" w:rsidRDefault="00EE33A3" w:rsidP="007753CF">
      <w:pPr>
        <w:pBdr>
          <w:top w:val="single" w:sz="4" w:space="1" w:color="auto"/>
          <w:left w:val="single" w:sz="4" w:space="4" w:color="auto"/>
          <w:bottom w:val="single" w:sz="4" w:space="1" w:color="auto"/>
          <w:right w:val="single" w:sz="4" w:space="4" w:color="auto"/>
        </w:pBdr>
        <w:rPr>
          <w:rFonts w:ascii="Arial" w:hAnsi="Arial" w:cs="Arial"/>
          <w:szCs w:val="24"/>
        </w:rPr>
      </w:pPr>
      <w:r w:rsidRPr="007753CF">
        <w:rPr>
          <w:rFonts w:ascii="Arial" w:hAnsi="Arial" w:cs="Arial"/>
          <w:szCs w:val="24"/>
        </w:rPr>
        <w:t>Further opportunities to engage with service providers to the CIS scheme, and other insurance products delivered by the Insurance Commission, will be delivered as part of a broader initiative of the organisation to be more customer focused.</w:t>
      </w:r>
    </w:p>
    <w:p w14:paraId="08B28E47" w14:textId="77777777" w:rsidR="00EE33A3" w:rsidRDefault="00EE33A3" w:rsidP="00EE33A3">
      <w:pPr>
        <w:rPr>
          <w:rFonts w:ascii="Arial" w:hAnsi="Arial" w:cs="Arial"/>
          <w:szCs w:val="24"/>
        </w:rPr>
      </w:pPr>
    </w:p>
    <w:p w14:paraId="4508F24A" w14:textId="77777777" w:rsidR="00EE33A3" w:rsidRPr="007753CF" w:rsidRDefault="00EE33A3" w:rsidP="00EE33A3">
      <w:pPr>
        <w:jc w:val="left"/>
        <w:rPr>
          <w:rFonts w:ascii="Arial" w:hAnsi="Arial" w:cs="Arial"/>
          <w:i/>
          <w:szCs w:val="24"/>
        </w:rPr>
      </w:pPr>
      <w:r w:rsidRPr="007753CF">
        <w:rPr>
          <w:rFonts w:ascii="Arial" w:hAnsi="Arial" w:cs="Arial"/>
          <w:i/>
          <w:szCs w:val="24"/>
        </w:rPr>
        <w:t>Infographic – Services Provided</w:t>
      </w:r>
    </w:p>
    <w:p w14:paraId="0343D914" w14:textId="77777777" w:rsidR="00EE33A3" w:rsidRPr="007753CF" w:rsidRDefault="00EE33A3" w:rsidP="00EE33A3">
      <w:pPr>
        <w:jc w:val="left"/>
        <w:rPr>
          <w:rFonts w:ascii="Arial" w:hAnsi="Arial" w:cs="Arial"/>
          <w:i/>
          <w:szCs w:val="24"/>
        </w:rPr>
      </w:pPr>
    </w:p>
    <w:p w14:paraId="5CEB7FB9" w14:textId="77777777" w:rsidR="00EE33A3" w:rsidRPr="007753CF" w:rsidRDefault="00EE33A3" w:rsidP="00EE33A3">
      <w:pPr>
        <w:jc w:val="left"/>
        <w:rPr>
          <w:rFonts w:ascii="Arial" w:hAnsi="Arial" w:cs="Arial"/>
          <w:szCs w:val="24"/>
        </w:rPr>
      </w:pPr>
      <w:r w:rsidRPr="007753CF">
        <w:rPr>
          <w:rFonts w:ascii="Arial" w:hAnsi="Arial" w:cs="Arial"/>
          <w:szCs w:val="24"/>
        </w:rPr>
        <w:t xml:space="preserve">Across all motor injury insurance claims (CTP and CIS scheme) paid during 2018, the following sets out the volume of services provided to claimants and paid by the Insurance Commission. </w:t>
      </w:r>
    </w:p>
    <w:p w14:paraId="518FC389" w14:textId="77777777" w:rsidR="00EE33A3" w:rsidRPr="007753CF" w:rsidRDefault="00EE33A3" w:rsidP="00EE33A3">
      <w:pPr>
        <w:jc w:val="left"/>
        <w:rPr>
          <w:rFonts w:ascii="Arial" w:hAnsi="Arial" w:cs="Arial"/>
          <w:szCs w:val="24"/>
        </w:rPr>
      </w:pPr>
      <w:r w:rsidRPr="007753CF">
        <w:rPr>
          <w:rFonts w:ascii="Arial" w:hAnsi="Arial" w:cs="Arial"/>
          <w:szCs w:val="24"/>
        </w:rPr>
        <w:tab/>
      </w:r>
    </w:p>
    <w:p w14:paraId="134D3BC2" w14:textId="77777777" w:rsidR="00EE33A3" w:rsidRPr="007753CF" w:rsidRDefault="00EE33A3" w:rsidP="00EE33A3">
      <w:pPr>
        <w:jc w:val="left"/>
        <w:rPr>
          <w:rFonts w:ascii="Arial" w:hAnsi="Arial" w:cs="Arial"/>
          <w:szCs w:val="24"/>
        </w:rPr>
      </w:pPr>
      <w:r w:rsidRPr="007753CF">
        <w:rPr>
          <w:rFonts w:ascii="Arial" w:hAnsi="Arial" w:cs="Arial"/>
          <w:szCs w:val="24"/>
        </w:rPr>
        <w:t>61,452 physiotherapy sessions</w:t>
      </w:r>
    </w:p>
    <w:p w14:paraId="14FA44EA" w14:textId="77777777" w:rsidR="00EE33A3" w:rsidRPr="007753CF" w:rsidRDefault="00EE33A3" w:rsidP="00EE33A3">
      <w:pPr>
        <w:jc w:val="left"/>
        <w:rPr>
          <w:rFonts w:ascii="Arial" w:hAnsi="Arial" w:cs="Arial"/>
          <w:szCs w:val="24"/>
        </w:rPr>
      </w:pPr>
      <w:r w:rsidRPr="007753CF">
        <w:rPr>
          <w:rFonts w:ascii="Arial" w:hAnsi="Arial" w:cs="Arial"/>
          <w:szCs w:val="24"/>
        </w:rPr>
        <w:t>36,774 doctor appointments</w:t>
      </w:r>
    </w:p>
    <w:p w14:paraId="60328AC4" w14:textId="77777777" w:rsidR="00EE33A3" w:rsidRPr="007753CF" w:rsidRDefault="00EE33A3" w:rsidP="00EE33A3">
      <w:pPr>
        <w:jc w:val="left"/>
        <w:rPr>
          <w:rFonts w:ascii="Arial" w:hAnsi="Arial" w:cs="Arial"/>
          <w:szCs w:val="24"/>
        </w:rPr>
      </w:pPr>
      <w:r w:rsidRPr="007753CF">
        <w:rPr>
          <w:rFonts w:ascii="Arial" w:hAnsi="Arial" w:cs="Arial"/>
          <w:szCs w:val="24"/>
        </w:rPr>
        <w:t>13,366 exercise programs</w:t>
      </w:r>
    </w:p>
    <w:p w14:paraId="0E025F2B" w14:textId="77777777" w:rsidR="00EE33A3" w:rsidRPr="007753CF" w:rsidRDefault="00EE33A3" w:rsidP="00EE33A3">
      <w:pPr>
        <w:jc w:val="left"/>
        <w:rPr>
          <w:rFonts w:ascii="Arial" w:hAnsi="Arial" w:cs="Arial"/>
          <w:szCs w:val="24"/>
        </w:rPr>
      </w:pPr>
      <w:r w:rsidRPr="007753CF">
        <w:rPr>
          <w:rFonts w:ascii="Arial" w:hAnsi="Arial" w:cs="Arial"/>
          <w:szCs w:val="24"/>
        </w:rPr>
        <w:t>10,480 x-rays</w:t>
      </w:r>
    </w:p>
    <w:p w14:paraId="0C099F8F" w14:textId="77777777" w:rsidR="00EE33A3" w:rsidRPr="007753CF" w:rsidRDefault="00EE33A3" w:rsidP="00EE33A3">
      <w:pPr>
        <w:jc w:val="left"/>
        <w:rPr>
          <w:rFonts w:ascii="Arial" w:hAnsi="Arial" w:cs="Arial"/>
          <w:szCs w:val="24"/>
        </w:rPr>
      </w:pPr>
      <w:r w:rsidRPr="007753CF">
        <w:rPr>
          <w:rFonts w:ascii="Arial" w:hAnsi="Arial" w:cs="Arial"/>
          <w:szCs w:val="24"/>
        </w:rPr>
        <w:t>8,113 chiropractic appointments</w:t>
      </w:r>
    </w:p>
    <w:p w14:paraId="683AE77F" w14:textId="77777777" w:rsidR="00EE33A3" w:rsidRPr="007753CF" w:rsidRDefault="00EE33A3" w:rsidP="00EE33A3">
      <w:pPr>
        <w:jc w:val="left"/>
        <w:rPr>
          <w:rFonts w:ascii="Arial" w:hAnsi="Arial" w:cs="Arial"/>
          <w:szCs w:val="24"/>
        </w:rPr>
      </w:pPr>
      <w:r w:rsidRPr="007753CF">
        <w:rPr>
          <w:rFonts w:ascii="Arial" w:hAnsi="Arial" w:cs="Arial"/>
          <w:szCs w:val="24"/>
        </w:rPr>
        <w:t>7,637 occupational therapy appointments</w:t>
      </w:r>
    </w:p>
    <w:p w14:paraId="36CFD5F8" w14:textId="77777777" w:rsidR="00EE33A3" w:rsidRPr="007753CF" w:rsidRDefault="00EE33A3" w:rsidP="00EE33A3">
      <w:pPr>
        <w:jc w:val="left"/>
        <w:rPr>
          <w:rFonts w:ascii="Arial" w:hAnsi="Arial" w:cs="Arial"/>
          <w:szCs w:val="24"/>
        </w:rPr>
      </w:pPr>
      <w:r w:rsidRPr="007753CF">
        <w:rPr>
          <w:rFonts w:ascii="Arial" w:hAnsi="Arial" w:cs="Arial"/>
          <w:szCs w:val="24"/>
        </w:rPr>
        <w:t>7,441 ambulance trips</w:t>
      </w:r>
    </w:p>
    <w:p w14:paraId="5E5054F9" w14:textId="77777777" w:rsidR="00EE33A3" w:rsidRPr="007753CF" w:rsidRDefault="00EE33A3" w:rsidP="00EE33A3">
      <w:pPr>
        <w:jc w:val="left"/>
        <w:rPr>
          <w:rFonts w:ascii="Arial" w:hAnsi="Arial" w:cs="Arial"/>
          <w:szCs w:val="24"/>
        </w:rPr>
      </w:pPr>
      <w:r w:rsidRPr="007753CF">
        <w:rPr>
          <w:rFonts w:ascii="Arial" w:hAnsi="Arial" w:cs="Arial"/>
          <w:szCs w:val="24"/>
        </w:rPr>
        <w:t>6,085 psychologist appointments</w:t>
      </w:r>
    </w:p>
    <w:p w14:paraId="4AD8B20B" w14:textId="77777777" w:rsidR="00EE33A3" w:rsidRPr="007753CF" w:rsidRDefault="00EE33A3" w:rsidP="00EE33A3">
      <w:pPr>
        <w:jc w:val="left"/>
        <w:rPr>
          <w:rFonts w:ascii="Arial" w:hAnsi="Arial" w:cs="Arial"/>
          <w:szCs w:val="24"/>
        </w:rPr>
      </w:pPr>
      <w:r w:rsidRPr="007753CF">
        <w:rPr>
          <w:rFonts w:ascii="Arial" w:hAnsi="Arial" w:cs="Arial"/>
          <w:szCs w:val="24"/>
        </w:rPr>
        <w:t>2,190 times anaesthetic administered</w:t>
      </w:r>
    </w:p>
    <w:p w14:paraId="763324D0" w14:textId="77777777" w:rsidR="00EE33A3" w:rsidRPr="00553FBD" w:rsidRDefault="00EE33A3" w:rsidP="00EE33A3">
      <w:pPr>
        <w:jc w:val="left"/>
        <w:rPr>
          <w:rFonts w:ascii="Arial" w:hAnsi="Arial" w:cs="Arial"/>
          <w:i/>
          <w:szCs w:val="24"/>
        </w:rPr>
      </w:pPr>
      <w:r w:rsidRPr="007753CF">
        <w:rPr>
          <w:rFonts w:ascii="Arial" w:hAnsi="Arial" w:cs="Arial"/>
          <w:szCs w:val="24"/>
        </w:rPr>
        <w:t xml:space="preserve">1,866 </w:t>
      </w:r>
      <w:proofErr w:type="spellStart"/>
      <w:proofErr w:type="gramStart"/>
      <w:r w:rsidRPr="007753CF">
        <w:rPr>
          <w:rFonts w:ascii="Arial" w:hAnsi="Arial" w:cs="Arial"/>
          <w:szCs w:val="24"/>
        </w:rPr>
        <w:t>pilates</w:t>
      </w:r>
      <w:proofErr w:type="spellEnd"/>
      <w:proofErr w:type="gramEnd"/>
      <w:r w:rsidRPr="007753CF">
        <w:rPr>
          <w:rFonts w:ascii="Arial" w:hAnsi="Arial" w:cs="Arial"/>
          <w:szCs w:val="24"/>
        </w:rPr>
        <w:t xml:space="preserve"> classes</w:t>
      </w:r>
      <w:r w:rsidRPr="00267AAE">
        <w:rPr>
          <w:rFonts w:ascii="Arial" w:hAnsi="Arial" w:cs="Arial"/>
          <w:i/>
          <w:szCs w:val="24"/>
        </w:rPr>
        <w:tab/>
      </w:r>
    </w:p>
    <w:p w14:paraId="23183115" w14:textId="77777777" w:rsidR="00EE33A3" w:rsidRDefault="00EE33A3" w:rsidP="00EE33A3">
      <w:pPr>
        <w:rPr>
          <w:rFonts w:ascii="Arial" w:hAnsi="Arial" w:cs="Arial"/>
          <w:szCs w:val="24"/>
        </w:rPr>
      </w:pPr>
    </w:p>
    <w:p w14:paraId="721FAD4C" w14:textId="3FD737EE" w:rsidR="00EE33A3" w:rsidRPr="007753CF" w:rsidRDefault="00EE33A3" w:rsidP="007753CF">
      <w:pPr>
        <w:pStyle w:val="ARHeading3"/>
        <w:pBdr>
          <w:top w:val="single" w:sz="4" w:space="1" w:color="auto"/>
          <w:left w:val="single" w:sz="4" w:space="4" w:color="auto"/>
          <w:bottom w:val="single" w:sz="4" w:space="1" w:color="auto"/>
          <w:right w:val="single" w:sz="4" w:space="4" w:color="auto"/>
        </w:pBdr>
      </w:pPr>
      <w:r w:rsidRPr="007753CF">
        <w:t>Positive feedback from CIS participants</w:t>
      </w:r>
    </w:p>
    <w:p w14:paraId="44481F11"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p>
    <w:p w14:paraId="1DDC9CBB"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The introduction of the Catastrophic Injuries Support (CIS) scheme on 1 July 2016 fundamentally changed the way the Insurance Commission engaged with some of its clients. </w:t>
      </w:r>
    </w:p>
    <w:p w14:paraId="33756556"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p>
    <w:p w14:paraId="39BD5EF2"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As the scheme provides lifetime care to people with catastrophic injuries from vehicle crashes, a lifelong relationship with clients and their families is required. Prior to the scheme, most Insurance Commission claims were settled with finality for both parties after a short time, or a few years for severe injuries, following a crash.  </w:t>
      </w:r>
    </w:p>
    <w:p w14:paraId="30F0476D"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p>
    <w:p w14:paraId="0CF0EE74"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The Insurance Commission collects feedback from CIS scheme clients and their families four weeks post discharge from hospital. Face-to-face review meetings are also held regularly with Care Services Coordinators to capture feedback on the CIS scheme and its service providers.</w:t>
      </w:r>
    </w:p>
    <w:p w14:paraId="11F8810E"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p>
    <w:p w14:paraId="057BB04F"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Feedback collected via these initiatives has been overwhelmingly positive. </w:t>
      </w:r>
    </w:p>
    <w:p w14:paraId="75277F58"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p>
    <w:p w14:paraId="074D391A"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i/>
        </w:rPr>
      </w:pPr>
      <w:r w:rsidRPr="007753CF">
        <w:rPr>
          <w:rFonts w:ascii="Arial" w:hAnsi="Arial" w:cs="Arial"/>
          <w:i/>
        </w:rPr>
        <w:t>“It has been wonderful dealing with professionals close to home, not having to travel to the hospital all the time.”</w:t>
      </w:r>
    </w:p>
    <w:p w14:paraId="38943DBD"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i/>
        </w:rPr>
      </w:pPr>
    </w:p>
    <w:p w14:paraId="2A114458"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i/>
        </w:rPr>
      </w:pPr>
      <w:r w:rsidRPr="007753CF">
        <w:rPr>
          <w:rFonts w:ascii="Arial" w:hAnsi="Arial" w:cs="Arial"/>
          <w:i/>
        </w:rPr>
        <w:t>“Personal tailoring of my recovery rehabilitation plan is important and has been positive.”</w:t>
      </w:r>
    </w:p>
    <w:p w14:paraId="73779EC9"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 </w:t>
      </w:r>
    </w:p>
    <w:p w14:paraId="4F137569" w14:textId="1724EDC9"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i/>
        </w:rPr>
      </w:pPr>
      <w:r w:rsidRPr="007753CF">
        <w:rPr>
          <w:rFonts w:ascii="Arial" w:hAnsi="Arial" w:cs="Arial"/>
          <w:i/>
        </w:rPr>
        <w:t>“I would just like to say I am very thankful for the he</w:t>
      </w:r>
      <w:r w:rsidR="007753CF" w:rsidRPr="007753CF">
        <w:rPr>
          <w:rFonts w:ascii="Arial" w:hAnsi="Arial" w:cs="Arial"/>
          <w:i/>
        </w:rPr>
        <w:t>lp</w:t>
      </w:r>
      <w:r w:rsidRPr="007753CF">
        <w:rPr>
          <w:rFonts w:ascii="Arial" w:hAnsi="Arial" w:cs="Arial"/>
          <w:i/>
        </w:rPr>
        <w:t xml:space="preserve"> I am receiving. And a big thank</w:t>
      </w:r>
      <w:r w:rsidR="007753CF" w:rsidRPr="007753CF">
        <w:rPr>
          <w:rFonts w:ascii="Arial" w:hAnsi="Arial" w:cs="Arial"/>
          <w:i/>
        </w:rPr>
        <w:t xml:space="preserve"> </w:t>
      </w:r>
      <w:r w:rsidRPr="007753CF">
        <w:rPr>
          <w:rFonts w:ascii="Arial" w:hAnsi="Arial" w:cs="Arial"/>
          <w:i/>
        </w:rPr>
        <w:t>you to our Care Service Coordinator for her support and always following though.”</w:t>
      </w:r>
    </w:p>
    <w:p w14:paraId="388C28AB" w14:textId="77777777" w:rsidR="00EE33A3" w:rsidRPr="00E80FB6" w:rsidRDefault="00EE33A3" w:rsidP="00EE33A3">
      <w:pPr>
        <w:rPr>
          <w:rFonts w:ascii="Arial" w:hAnsi="Arial" w:cs="Arial"/>
          <w:highlight w:val="yellow"/>
        </w:rPr>
      </w:pPr>
    </w:p>
    <w:p w14:paraId="7400F4B2" w14:textId="0E43CB1C" w:rsidR="00EE33A3" w:rsidRPr="007753CF" w:rsidRDefault="00EE33A3" w:rsidP="007753CF">
      <w:pPr>
        <w:pStyle w:val="ARHeading3"/>
        <w:pBdr>
          <w:top w:val="single" w:sz="4" w:space="1" w:color="auto"/>
          <w:left w:val="single" w:sz="4" w:space="4" w:color="auto"/>
          <w:bottom w:val="single" w:sz="4" w:space="1" w:color="auto"/>
          <w:right w:val="single" w:sz="4" w:space="4" w:color="auto"/>
        </w:pBdr>
        <w:rPr>
          <w:rStyle w:val="Arial12pt"/>
          <w:sz w:val="28"/>
        </w:rPr>
      </w:pPr>
      <w:r w:rsidRPr="007753CF">
        <w:rPr>
          <w:rStyle w:val="Arial12pt"/>
          <w:sz w:val="28"/>
        </w:rPr>
        <w:t xml:space="preserve">Kenny’s CIS Scheme Experience </w:t>
      </w:r>
    </w:p>
    <w:p w14:paraId="63B842EE"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In 2017, Kenny was riding his motorcycle in Albany with two friends when he hit a bump, went over the handle bars and landed on his head. He knew something was not right when he heard a pop in his spine.  </w:t>
      </w:r>
    </w:p>
    <w:p w14:paraId="2EEC7E74"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 </w:t>
      </w:r>
    </w:p>
    <w:p w14:paraId="41BBE163"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Kenny was flown to Royal Perth Hospital where he underwent surgery and spent a week in intensive care. He then spent three months in rehabilitation at the Fiona Stanley Hospital. The crash left Kenny with a paraplegic spinal cord injury. </w:t>
      </w:r>
    </w:p>
    <w:p w14:paraId="5FC2641C"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p>
    <w:p w14:paraId="3F877B83"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Kenny explains the catastrophic injury has had a significant impact on his life and the CIS scheme has helped him regain his independence: </w:t>
      </w:r>
    </w:p>
    <w:p w14:paraId="4B9A154C"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 </w:t>
      </w:r>
    </w:p>
    <w:p w14:paraId="712FF41A"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i/>
        </w:rPr>
      </w:pPr>
      <w:r w:rsidRPr="007753CF">
        <w:rPr>
          <w:rFonts w:ascii="Arial" w:hAnsi="Arial" w:cs="Arial"/>
          <w:i/>
        </w:rPr>
        <w:t>“Getting dressed, showering and going to the bathroom all take their time which is something I took for granted.</w:t>
      </w:r>
    </w:p>
    <w:p w14:paraId="57B46E13"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i/>
        </w:rPr>
      </w:pPr>
      <w:r w:rsidRPr="007753CF">
        <w:rPr>
          <w:rFonts w:ascii="Arial" w:hAnsi="Arial" w:cs="Arial"/>
          <w:i/>
        </w:rPr>
        <w:t xml:space="preserve"> </w:t>
      </w:r>
    </w:p>
    <w:p w14:paraId="3FEFA6A5" w14:textId="535B5E12" w:rsidR="00EE33A3" w:rsidRPr="007753CF" w:rsidRDefault="007753CF" w:rsidP="007753CF">
      <w:pPr>
        <w:pBdr>
          <w:top w:val="single" w:sz="4" w:space="1" w:color="auto"/>
          <w:left w:val="single" w:sz="4" w:space="4" w:color="auto"/>
          <w:bottom w:val="single" w:sz="4" w:space="1" w:color="auto"/>
          <w:right w:val="single" w:sz="4" w:space="4" w:color="auto"/>
        </w:pBdr>
        <w:rPr>
          <w:rFonts w:ascii="Arial" w:hAnsi="Arial" w:cs="Arial"/>
          <w:i/>
        </w:rPr>
      </w:pPr>
      <w:r w:rsidRPr="007753CF">
        <w:rPr>
          <w:rFonts w:ascii="Arial" w:hAnsi="Arial" w:cs="Arial"/>
          <w:i/>
        </w:rPr>
        <w:t>“</w:t>
      </w:r>
      <w:r w:rsidR="00EE33A3" w:rsidRPr="007753CF">
        <w:rPr>
          <w:rFonts w:ascii="Arial" w:hAnsi="Arial" w:cs="Arial"/>
          <w:i/>
        </w:rPr>
        <w:t>The CIS scheme has been such a huge part of my recovery. I would not have been able to achieve goals I’ve wanted to without the CIS scheme.</w:t>
      </w:r>
    </w:p>
    <w:p w14:paraId="67D8D650"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i/>
        </w:rPr>
      </w:pPr>
      <w:r w:rsidRPr="007753CF">
        <w:rPr>
          <w:rFonts w:ascii="Arial" w:hAnsi="Arial" w:cs="Arial"/>
          <w:i/>
        </w:rPr>
        <w:t xml:space="preserve"> </w:t>
      </w:r>
    </w:p>
    <w:p w14:paraId="04A2BB1E" w14:textId="217E8868" w:rsidR="00EE33A3" w:rsidRPr="007753CF" w:rsidRDefault="007753CF" w:rsidP="007753CF">
      <w:pPr>
        <w:pBdr>
          <w:top w:val="single" w:sz="4" w:space="1" w:color="auto"/>
          <w:left w:val="single" w:sz="4" w:space="4" w:color="auto"/>
          <w:bottom w:val="single" w:sz="4" w:space="1" w:color="auto"/>
          <w:right w:val="single" w:sz="4" w:space="4" w:color="auto"/>
        </w:pBdr>
        <w:rPr>
          <w:rFonts w:ascii="Arial" w:hAnsi="Arial" w:cs="Arial"/>
          <w:i/>
        </w:rPr>
      </w:pPr>
      <w:r w:rsidRPr="007753CF">
        <w:rPr>
          <w:rFonts w:ascii="Arial" w:hAnsi="Arial" w:cs="Arial"/>
          <w:i/>
        </w:rPr>
        <w:t>“</w:t>
      </w:r>
      <w:r w:rsidR="00EE33A3" w:rsidRPr="007753CF">
        <w:rPr>
          <w:rFonts w:ascii="Arial" w:hAnsi="Arial" w:cs="Arial"/>
          <w:i/>
        </w:rPr>
        <w:t xml:space="preserve">I’ve built a great relationship with my Care Service Coordinator (CSC) whose physiotherapy background has been key to my rehabilitation. As a practising physiotherapist, my CSC is up to date with the latest rehabilitation techniques which assists in tailoring the care and support I receive.  I appreciate their interest and focus to help me through my rehabilitation.” </w:t>
      </w:r>
    </w:p>
    <w:p w14:paraId="71F131A2"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 xml:space="preserve"> </w:t>
      </w:r>
    </w:p>
    <w:p w14:paraId="4D09F57C"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Kenny is currently applying for his building registration and aims to compete as a swimmer in a future Paralympics.</w:t>
      </w:r>
    </w:p>
    <w:p w14:paraId="121B639A" w14:textId="77777777" w:rsidR="00EE33A3" w:rsidRPr="007753CF" w:rsidRDefault="00EE33A3" w:rsidP="007753CF">
      <w:pPr>
        <w:pBdr>
          <w:top w:val="single" w:sz="4" w:space="1" w:color="auto"/>
          <w:left w:val="single" w:sz="4" w:space="4" w:color="auto"/>
          <w:bottom w:val="single" w:sz="4" w:space="1" w:color="auto"/>
          <w:right w:val="single" w:sz="4" w:space="4" w:color="auto"/>
        </w:pBdr>
        <w:rPr>
          <w:rFonts w:ascii="Arial" w:hAnsi="Arial" w:cs="Arial"/>
        </w:rPr>
      </w:pPr>
    </w:p>
    <w:p w14:paraId="3FC8BE59" w14:textId="77777777" w:rsidR="00EE33A3" w:rsidRDefault="00EE33A3" w:rsidP="007753CF">
      <w:pPr>
        <w:pBdr>
          <w:top w:val="single" w:sz="4" w:space="1" w:color="auto"/>
          <w:left w:val="single" w:sz="4" w:space="4" w:color="auto"/>
          <w:bottom w:val="single" w:sz="4" w:space="1" w:color="auto"/>
          <w:right w:val="single" w:sz="4" w:space="4" w:color="auto"/>
        </w:pBdr>
        <w:rPr>
          <w:rFonts w:ascii="Arial" w:hAnsi="Arial" w:cs="Arial"/>
        </w:rPr>
      </w:pPr>
      <w:r w:rsidRPr="007753CF">
        <w:rPr>
          <w:rFonts w:ascii="Arial" w:hAnsi="Arial" w:cs="Arial"/>
        </w:rPr>
        <w:t>Note: Kenny was covered under the CIS scheme as he was riding a registered or registrable motorcycle. If he was riding an un-registrable motorcycle he would not have been covered by the CIS scheme.</w:t>
      </w:r>
      <w:r>
        <w:rPr>
          <w:rFonts w:ascii="Arial" w:hAnsi="Arial" w:cs="Arial"/>
        </w:rPr>
        <w:t xml:space="preserve">  </w:t>
      </w:r>
    </w:p>
    <w:p w14:paraId="69950381" w14:textId="77777777" w:rsidR="00EE33A3" w:rsidRDefault="00EE33A3" w:rsidP="00EE33A3">
      <w:pPr>
        <w:rPr>
          <w:rFonts w:ascii="Arial" w:hAnsi="Arial" w:cs="Arial"/>
        </w:rPr>
      </w:pPr>
    </w:p>
    <w:p w14:paraId="14B46181" w14:textId="77777777" w:rsidR="00EE33A3" w:rsidRPr="00BB3520" w:rsidRDefault="00EE33A3" w:rsidP="00EE33A3">
      <w:pPr>
        <w:rPr>
          <w:rFonts w:ascii="Arial" w:hAnsi="Arial" w:cs="Arial"/>
          <w:b/>
          <w:sz w:val="28"/>
          <w:szCs w:val="28"/>
        </w:rPr>
      </w:pPr>
      <w:r w:rsidRPr="00BB3520">
        <w:rPr>
          <w:rFonts w:ascii="Arial" w:hAnsi="Arial" w:cs="Arial"/>
          <w:b/>
          <w:sz w:val="28"/>
          <w:szCs w:val="28"/>
        </w:rPr>
        <w:t>Motoring Costs</w:t>
      </w:r>
    </w:p>
    <w:p w14:paraId="670D4C15" w14:textId="77777777" w:rsidR="00EE33A3" w:rsidRDefault="00EE33A3" w:rsidP="00EE33A3">
      <w:pPr>
        <w:rPr>
          <w:rFonts w:ascii="Arial" w:hAnsi="Arial" w:cs="Arial"/>
        </w:rPr>
      </w:pPr>
      <w:r w:rsidRPr="00553FBD">
        <w:rPr>
          <w:rFonts w:ascii="Arial" w:hAnsi="Arial" w:cs="Arial"/>
        </w:rPr>
        <w:t xml:space="preserve">The graph above compares WA’s 1 July 2018 premium rate for a family car to premium rates for </w:t>
      </w:r>
      <w:r>
        <w:rPr>
          <w:rFonts w:ascii="Arial" w:hAnsi="Arial" w:cs="Arial"/>
        </w:rPr>
        <w:t>CTP and CIS</w:t>
      </w:r>
      <w:r w:rsidRPr="00553FBD">
        <w:rPr>
          <w:rFonts w:ascii="Arial" w:hAnsi="Arial" w:cs="Arial"/>
        </w:rPr>
        <w:t xml:space="preserve"> insurance products in other states and territories. This graph also </w:t>
      </w:r>
      <w:r>
        <w:rPr>
          <w:rFonts w:ascii="Arial" w:hAnsi="Arial" w:cs="Arial"/>
        </w:rPr>
        <w:t xml:space="preserve">presents the affordability of those products, expressed </w:t>
      </w:r>
      <w:r w:rsidRPr="00553FBD">
        <w:rPr>
          <w:rFonts w:ascii="Arial" w:hAnsi="Arial" w:cs="Arial"/>
        </w:rPr>
        <w:t>as a proportion of one week’s average wages in each state and territory.</w:t>
      </w:r>
    </w:p>
    <w:p w14:paraId="042CA0A4" w14:textId="77777777" w:rsidR="00EE33A3" w:rsidRPr="00EB2B9D" w:rsidRDefault="00EE33A3" w:rsidP="00EE33A3">
      <w:pPr>
        <w:rPr>
          <w:rFonts w:ascii="Arial" w:hAnsi="Arial" w:cs="Arial"/>
        </w:rPr>
      </w:pPr>
    </w:p>
    <w:p w14:paraId="3F1B7358" w14:textId="77777777" w:rsidR="00EE33A3" w:rsidRDefault="00EE33A3" w:rsidP="00EE33A3">
      <w:pPr>
        <w:rPr>
          <w:rFonts w:ascii="Arial" w:hAnsi="Arial" w:cs="Arial"/>
        </w:rPr>
      </w:pPr>
      <w:r w:rsidRPr="00EB2B9D">
        <w:rPr>
          <w:rFonts w:ascii="Arial" w:hAnsi="Arial" w:cs="Arial"/>
        </w:rPr>
        <w:lastRenderedPageBreak/>
        <w:t xml:space="preserve">The price of motor injury insurance is set to balance product affordability, cover and scheme sustainability. It is </w:t>
      </w:r>
      <w:r>
        <w:rPr>
          <w:rFonts w:ascii="Arial" w:hAnsi="Arial" w:cs="Arial"/>
        </w:rPr>
        <w:t xml:space="preserve">critical that </w:t>
      </w:r>
      <w:r w:rsidRPr="00EB2B9D">
        <w:rPr>
          <w:rFonts w:ascii="Arial" w:hAnsi="Arial" w:cs="Arial"/>
        </w:rPr>
        <w:t xml:space="preserve">sufficient revenue is collected to meet the current and future costs of claims for people injured in </w:t>
      </w:r>
      <w:r>
        <w:rPr>
          <w:rFonts w:ascii="Arial" w:hAnsi="Arial" w:cs="Arial"/>
        </w:rPr>
        <w:t xml:space="preserve">vehicle </w:t>
      </w:r>
      <w:r w:rsidRPr="00EB2B9D">
        <w:rPr>
          <w:rFonts w:ascii="Arial" w:hAnsi="Arial" w:cs="Arial"/>
        </w:rPr>
        <w:t>crashes.</w:t>
      </w:r>
    </w:p>
    <w:p w14:paraId="1B24C08D" w14:textId="77777777" w:rsidR="00EE33A3" w:rsidRDefault="00EE33A3" w:rsidP="00EE33A3">
      <w:pPr>
        <w:rPr>
          <w:rFonts w:ascii="Arial" w:hAnsi="Arial" w:cs="Arial"/>
        </w:rPr>
      </w:pPr>
    </w:p>
    <w:p w14:paraId="6BFBA2EF" w14:textId="77777777" w:rsidR="00EE33A3" w:rsidRPr="007753CF" w:rsidRDefault="00EE33A3" w:rsidP="00EE33A3">
      <w:pPr>
        <w:rPr>
          <w:rFonts w:ascii="Arial" w:hAnsi="Arial" w:cs="Arial"/>
          <w:i/>
        </w:rPr>
      </w:pPr>
      <w:r w:rsidRPr="007753CF">
        <w:rPr>
          <w:rFonts w:ascii="Arial" w:hAnsi="Arial" w:cs="Arial"/>
          <w:i/>
        </w:rPr>
        <w:t>Infographic – Motor Injury Insurance Premium Comparisons and Affordability at 1 July 2018</w:t>
      </w:r>
    </w:p>
    <w:p w14:paraId="2FA69021" w14:textId="77777777" w:rsidR="00EE33A3" w:rsidRPr="007753CF" w:rsidRDefault="00EE33A3" w:rsidP="00EE33A3">
      <w:pPr>
        <w:rPr>
          <w:rFonts w:ascii="Arial" w:hAnsi="Arial" w:cs="Arial"/>
        </w:rPr>
      </w:pPr>
    </w:p>
    <w:tbl>
      <w:tblPr>
        <w:tblW w:w="6200" w:type="dxa"/>
        <w:tblLook w:val="04A0" w:firstRow="1" w:lastRow="0" w:firstColumn="1" w:lastColumn="0" w:noHBand="0" w:noVBand="1"/>
      </w:tblPr>
      <w:tblGrid>
        <w:gridCol w:w="1200"/>
        <w:gridCol w:w="2500"/>
        <w:gridCol w:w="2500"/>
      </w:tblGrid>
      <w:tr w:rsidR="00EE33A3" w:rsidRPr="007753CF" w14:paraId="5707BAF1" w14:textId="77777777" w:rsidTr="004046F0">
        <w:trPr>
          <w:trHeight w:val="945"/>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F40BA5" w14:textId="77777777" w:rsidR="00EE33A3" w:rsidRPr="007753CF" w:rsidRDefault="00EE33A3" w:rsidP="004046F0">
            <w:pPr>
              <w:rPr>
                <w:rFonts w:ascii="Arial" w:hAnsi="Arial" w:cs="Arial"/>
                <w:color w:val="000000"/>
                <w:lang w:eastAsia="en-AU"/>
              </w:rPr>
            </w:pPr>
            <w:r w:rsidRPr="007753CF">
              <w:rPr>
                <w:rFonts w:ascii="Arial" w:hAnsi="Arial" w:cs="Arial"/>
                <w:color w:val="000000"/>
                <w:lang w:eastAsia="en-AU"/>
              </w:rPr>
              <w:t> </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646F819F"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 xml:space="preserve">Insurance premium </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24CC91F2"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Proportion of average weekly earnings</w:t>
            </w:r>
          </w:p>
        </w:tc>
      </w:tr>
      <w:tr w:rsidR="00EE33A3" w:rsidRPr="007753CF" w14:paraId="2A52FA68" w14:textId="77777777" w:rsidTr="004046F0">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9B9B12"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WA</w:t>
            </w:r>
          </w:p>
        </w:tc>
        <w:tc>
          <w:tcPr>
            <w:tcW w:w="2500" w:type="dxa"/>
            <w:tcBorders>
              <w:top w:val="nil"/>
              <w:left w:val="nil"/>
              <w:bottom w:val="single" w:sz="4" w:space="0" w:color="auto"/>
              <w:right w:val="single" w:sz="4" w:space="0" w:color="auto"/>
            </w:tcBorders>
            <w:shd w:val="clear" w:color="auto" w:fill="auto"/>
            <w:noWrap/>
            <w:vAlign w:val="bottom"/>
            <w:hideMark/>
          </w:tcPr>
          <w:p w14:paraId="1298F47B"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$431</w:t>
            </w:r>
          </w:p>
        </w:tc>
        <w:tc>
          <w:tcPr>
            <w:tcW w:w="2500" w:type="dxa"/>
            <w:tcBorders>
              <w:top w:val="nil"/>
              <w:left w:val="nil"/>
              <w:bottom w:val="single" w:sz="4" w:space="0" w:color="auto"/>
              <w:right w:val="single" w:sz="4" w:space="0" w:color="auto"/>
            </w:tcBorders>
            <w:shd w:val="clear" w:color="000000" w:fill="FFFFFF"/>
            <w:noWrap/>
            <w:vAlign w:val="bottom"/>
            <w:hideMark/>
          </w:tcPr>
          <w:p w14:paraId="10E7DE97"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24.7%</w:t>
            </w:r>
          </w:p>
        </w:tc>
      </w:tr>
      <w:tr w:rsidR="00EE33A3" w:rsidRPr="007753CF" w14:paraId="048BB877" w14:textId="77777777" w:rsidTr="004046F0">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5D406C"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TAS</w:t>
            </w:r>
          </w:p>
        </w:tc>
        <w:tc>
          <w:tcPr>
            <w:tcW w:w="2500" w:type="dxa"/>
            <w:tcBorders>
              <w:top w:val="nil"/>
              <w:left w:val="nil"/>
              <w:bottom w:val="single" w:sz="4" w:space="0" w:color="auto"/>
              <w:right w:val="single" w:sz="4" w:space="0" w:color="auto"/>
            </w:tcBorders>
            <w:shd w:val="clear" w:color="auto" w:fill="auto"/>
            <w:noWrap/>
            <w:vAlign w:val="bottom"/>
            <w:hideMark/>
          </w:tcPr>
          <w:p w14:paraId="307D4481"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$314</w:t>
            </w:r>
          </w:p>
        </w:tc>
        <w:tc>
          <w:tcPr>
            <w:tcW w:w="2500" w:type="dxa"/>
            <w:tcBorders>
              <w:top w:val="nil"/>
              <w:left w:val="nil"/>
              <w:bottom w:val="single" w:sz="4" w:space="0" w:color="auto"/>
              <w:right w:val="single" w:sz="4" w:space="0" w:color="auto"/>
            </w:tcBorders>
            <w:shd w:val="clear" w:color="000000" w:fill="FFFFFF"/>
            <w:noWrap/>
            <w:vAlign w:val="bottom"/>
            <w:hideMark/>
          </w:tcPr>
          <w:p w14:paraId="50B9D776"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22.8%</w:t>
            </w:r>
          </w:p>
        </w:tc>
      </w:tr>
      <w:tr w:rsidR="00EE33A3" w:rsidRPr="007753CF" w14:paraId="7A61917E" w14:textId="77777777" w:rsidTr="004046F0">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306499"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QLD</w:t>
            </w:r>
          </w:p>
        </w:tc>
        <w:tc>
          <w:tcPr>
            <w:tcW w:w="2500" w:type="dxa"/>
            <w:tcBorders>
              <w:top w:val="nil"/>
              <w:left w:val="nil"/>
              <w:bottom w:val="single" w:sz="4" w:space="0" w:color="auto"/>
              <w:right w:val="single" w:sz="4" w:space="0" w:color="auto"/>
            </w:tcBorders>
            <w:shd w:val="clear" w:color="auto" w:fill="auto"/>
            <w:noWrap/>
            <w:vAlign w:val="bottom"/>
            <w:hideMark/>
          </w:tcPr>
          <w:p w14:paraId="7E904AB3"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$350</w:t>
            </w:r>
          </w:p>
        </w:tc>
        <w:tc>
          <w:tcPr>
            <w:tcW w:w="2500" w:type="dxa"/>
            <w:tcBorders>
              <w:top w:val="nil"/>
              <w:left w:val="nil"/>
              <w:bottom w:val="single" w:sz="4" w:space="0" w:color="auto"/>
              <w:right w:val="single" w:sz="4" w:space="0" w:color="auto"/>
            </w:tcBorders>
            <w:shd w:val="clear" w:color="000000" w:fill="FFFFFF"/>
            <w:noWrap/>
            <w:vAlign w:val="bottom"/>
            <w:hideMark/>
          </w:tcPr>
          <w:p w14:paraId="008E9E75"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22.7%</w:t>
            </w:r>
          </w:p>
        </w:tc>
      </w:tr>
      <w:tr w:rsidR="00EE33A3" w:rsidRPr="007753CF" w14:paraId="3B3827C0" w14:textId="77777777" w:rsidTr="004046F0">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178850"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VIC</w:t>
            </w:r>
          </w:p>
        </w:tc>
        <w:tc>
          <w:tcPr>
            <w:tcW w:w="2500" w:type="dxa"/>
            <w:tcBorders>
              <w:top w:val="nil"/>
              <w:left w:val="nil"/>
              <w:bottom w:val="single" w:sz="4" w:space="0" w:color="auto"/>
              <w:right w:val="single" w:sz="4" w:space="0" w:color="auto"/>
            </w:tcBorders>
            <w:shd w:val="clear" w:color="auto" w:fill="auto"/>
            <w:noWrap/>
            <w:vAlign w:val="bottom"/>
            <w:hideMark/>
          </w:tcPr>
          <w:p w14:paraId="7DD5158A"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$521</w:t>
            </w:r>
          </w:p>
        </w:tc>
        <w:tc>
          <w:tcPr>
            <w:tcW w:w="2500" w:type="dxa"/>
            <w:tcBorders>
              <w:top w:val="nil"/>
              <w:left w:val="nil"/>
              <w:bottom w:val="single" w:sz="4" w:space="0" w:color="auto"/>
              <w:right w:val="single" w:sz="4" w:space="0" w:color="auto"/>
            </w:tcBorders>
            <w:shd w:val="clear" w:color="000000" w:fill="FFFFFF"/>
            <w:noWrap/>
            <w:vAlign w:val="bottom"/>
            <w:hideMark/>
          </w:tcPr>
          <w:p w14:paraId="72A83CFA"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33.7%</w:t>
            </w:r>
          </w:p>
        </w:tc>
      </w:tr>
      <w:tr w:rsidR="00EE33A3" w:rsidRPr="007753CF" w14:paraId="269A463A" w14:textId="77777777" w:rsidTr="004046F0">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9BE00"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SA</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31DAEA41"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$522</w:t>
            </w:r>
          </w:p>
        </w:tc>
        <w:tc>
          <w:tcPr>
            <w:tcW w:w="2500" w:type="dxa"/>
            <w:tcBorders>
              <w:top w:val="single" w:sz="4" w:space="0" w:color="auto"/>
              <w:left w:val="nil"/>
              <w:bottom w:val="single" w:sz="4" w:space="0" w:color="auto"/>
              <w:right w:val="single" w:sz="4" w:space="0" w:color="auto"/>
            </w:tcBorders>
            <w:shd w:val="clear" w:color="000000" w:fill="FFFFFF"/>
            <w:noWrap/>
            <w:vAlign w:val="bottom"/>
            <w:hideMark/>
          </w:tcPr>
          <w:p w14:paraId="36599AF4"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36.1%</w:t>
            </w:r>
          </w:p>
        </w:tc>
      </w:tr>
      <w:tr w:rsidR="00EE33A3" w:rsidRPr="007753CF" w14:paraId="63D56F86" w14:textId="77777777" w:rsidTr="004046F0">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4F2C5"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NT</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12621EED"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$552</w:t>
            </w:r>
          </w:p>
        </w:tc>
        <w:tc>
          <w:tcPr>
            <w:tcW w:w="2500" w:type="dxa"/>
            <w:tcBorders>
              <w:top w:val="single" w:sz="4" w:space="0" w:color="auto"/>
              <w:left w:val="nil"/>
              <w:bottom w:val="single" w:sz="4" w:space="0" w:color="auto"/>
              <w:right w:val="single" w:sz="4" w:space="0" w:color="auto"/>
            </w:tcBorders>
            <w:shd w:val="clear" w:color="000000" w:fill="FFFFFF"/>
            <w:noWrap/>
            <w:vAlign w:val="bottom"/>
            <w:hideMark/>
          </w:tcPr>
          <w:p w14:paraId="594915C8"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33.1%</w:t>
            </w:r>
          </w:p>
        </w:tc>
      </w:tr>
      <w:tr w:rsidR="00EE33A3" w:rsidRPr="007753CF" w14:paraId="3B231BD3" w14:textId="77777777" w:rsidTr="004046F0">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447AB"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NSW</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20DE1263"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$574</w:t>
            </w:r>
          </w:p>
        </w:tc>
        <w:tc>
          <w:tcPr>
            <w:tcW w:w="2500" w:type="dxa"/>
            <w:tcBorders>
              <w:top w:val="single" w:sz="4" w:space="0" w:color="auto"/>
              <w:left w:val="nil"/>
              <w:bottom w:val="single" w:sz="4" w:space="0" w:color="auto"/>
              <w:right w:val="single" w:sz="4" w:space="0" w:color="auto"/>
            </w:tcBorders>
            <w:shd w:val="clear" w:color="000000" w:fill="FFFFFF"/>
            <w:noWrap/>
            <w:vAlign w:val="bottom"/>
            <w:hideMark/>
          </w:tcPr>
          <w:p w14:paraId="02741A57"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32.5%</w:t>
            </w:r>
          </w:p>
        </w:tc>
      </w:tr>
      <w:tr w:rsidR="00EE33A3" w:rsidRPr="00507966" w14:paraId="0C17F873" w14:textId="77777777" w:rsidTr="004046F0">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F4B8A"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ACT</w:t>
            </w: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1331CE78"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$588</w:t>
            </w:r>
          </w:p>
        </w:tc>
        <w:tc>
          <w:tcPr>
            <w:tcW w:w="2500" w:type="dxa"/>
            <w:tcBorders>
              <w:top w:val="single" w:sz="4" w:space="0" w:color="auto"/>
              <w:left w:val="nil"/>
              <w:bottom w:val="single" w:sz="4" w:space="0" w:color="auto"/>
              <w:right w:val="single" w:sz="4" w:space="0" w:color="auto"/>
            </w:tcBorders>
            <w:shd w:val="clear" w:color="000000" w:fill="FFFFFF"/>
            <w:noWrap/>
            <w:vAlign w:val="bottom"/>
          </w:tcPr>
          <w:p w14:paraId="78CA8331"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35.7%</w:t>
            </w:r>
          </w:p>
        </w:tc>
      </w:tr>
    </w:tbl>
    <w:p w14:paraId="0EA2FAD1" w14:textId="77777777" w:rsidR="00EE33A3" w:rsidRDefault="00EE33A3" w:rsidP="00EE33A3">
      <w:pPr>
        <w:rPr>
          <w:rFonts w:ascii="Arial" w:hAnsi="Arial" w:cs="Arial"/>
        </w:rPr>
      </w:pPr>
    </w:p>
    <w:p w14:paraId="1D7CEFC1" w14:textId="77777777" w:rsidR="00EE33A3" w:rsidRDefault="00EE33A3" w:rsidP="00EE33A3">
      <w:pPr>
        <w:rPr>
          <w:rFonts w:ascii="Arial" w:hAnsi="Arial" w:cs="Arial"/>
        </w:rPr>
      </w:pPr>
      <w:r>
        <w:rPr>
          <w:rFonts w:ascii="Arial" w:hAnsi="Arial" w:cs="Arial"/>
        </w:rPr>
        <w:t xml:space="preserve">Motor injury insurance is paid at the time of vehicle registration so many motorists are familiar with the total motoring cost. That cost is presented below for a small family vehicle in each </w:t>
      </w:r>
      <w:r w:rsidRPr="00EB33FE">
        <w:rPr>
          <w:rFonts w:ascii="Arial" w:hAnsi="Arial" w:cs="Arial"/>
        </w:rPr>
        <w:t>jurisdiction.</w:t>
      </w:r>
    </w:p>
    <w:p w14:paraId="5D06920F" w14:textId="77777777" w:rsidR="00EE33A3" w:rsidRDefault="00EE33A3" w:rsidP="00EE33A3">
      <w:pPr>
        <w:rPr>
          <w:rFonts w:ascii="Arial" w:hAnsi="Arial" w:cs="Arial"/>
        </w:rPr>
      </w:pPr>
    </w:p>
    <w:p w14:paraId="601E2635" w14:textId="77777777" w:rsidR="00EE33A3" w:rsidRDefault="00EE33A3" w:rsidP="00EE33A3">
      <w:pPr>
        <w:rPr>
          <w:rFonts w:ascii="Arial" w:hAnsi="Arial" w:cs="Arial"/>
        </w:rPr>
      </w:pPr>
      <w:r w:rsidRPr="00EB2B9D">
        <w:rPr>
          <w:rFonts w:ascii="Arial" w:hAnsi="Arial" w:cs="Arial"/>
        </w:rPr>
        <w:t>Motor injury insurance and vehicle registration costs in WA are the second most affordable in Australia at $6</w:t>
      </w:r>
      <w:r>
        <w:rPr>
          <w:rFonts w:ascii="Arial" w:hAnsi="Arial" w:cs="Arial"/>
        </w:rPr>
        <w:t>78</w:t>
      </w:r>
      <w:r w:rsidRPr="00EB2B9D">
        <w:rPr>
          <w:rFonts w:ascii="Arial" w:hAnsi="Arial" w:cs="Arial"/>
        </w:rPr>
        <w:t xml:space="preserve"> for a small family </w:t>
      </w:r>
      <w:r>
        <w:rPr>
          <w:rFonts w:ascii="Arial" w:hAnsi="Arial" w:cs="Arial"/>
        </w:rPr>
        <w:t>vehicle</w:t>
      </w:r>
      <w:r w:rsidRPr="00EB2B9D">
        <w:rPr>
          <w:rFonts w:ascii="Arial" w:hAnsi="Arial" w:cs="Arial"/>
        </w:rPr>
        <w:t>. Similar insurance and registration costs are significantly higher in Victoria ($</w:t>
      </w:r>
      <w:r>
        <w:rPr>
          <w:rFonts w:ascii="Arial" w:hAnsi="Arial" w:cs="Arial"/>
        </w:rPr>
        <w:t>816</w:t>
      </w:r>
      <w:r w:rsidRPr="00EB2B9D">
        <w:rPr>
          <w:rFonts w:ascii="Arial" w:hAnsi="Arial" w:cs="Arial"/>
        </w:rPr>
        <w:t>)</w:t>
      </w:r>
      <w:r>
        <w:rPr>
          <w:rFonts w:ascii="Arial" w:hAnsi="Arial" w:cs="Arial"/>
        </w:rPr>
        <w:t>,</w:t>
      </w:r>
      <w:r w:rsidRPr="00EB2B9D">
        <w:rPr>
          <w:rFonts w:ascii="Arial" w:hAnsi="Arial" w:cs="Arial"/>
        </w:rPr>
        <w:t xml:space="preserve"> NSW ($</w:t>
      </w:r>
      <w:r>
        <w:rPr>
          <w:rFonts w:ascii="Arial" w:hAnsi="Arial" w:cs="Arial"/>
        </w:rPr>
        <w:t>851</w:t>
      </w:r>
      <w:r w:rsidRPr="00EB2B9D">
        <w:rPr>
          <w:rFonts w:ascii="Arial" w:hAnsi="Arial" w:cs="Arial"/>
        </w:rPr>
        <w:t>)</w:t>
      </w:r>
      <w:r>
        <w:rPr>
          <w:rFonts w:ascii="Arial" w:hAnsi="Arial" w:cs="Arial"/>
        </w:rPr>
        <w:t xml:space="preserve"> and the</w:t>
      </w:r>
      <w:r w:rsidRPr="00EB2B9D">
        <w:rPr>
          <w:rFonts w:ascii="Arial" w:hAnsi="Arial" w:cs="Arial"/>
        </w:rPr>
        <w:t xml:space="preserve"> ACT ($</w:t>
      </w:r>
      <w:r>
        <w:rPr>
          <w:rFonts w:ascii="Arial" w:hAnsi="Arial" w:cs="Arial"/>
        </w:rPr>
        <w:t>931</w:t>
      </w:r>
      <w:r w:rsidRPr="00EB2B9D">
        <w:rPr>
          <w:rFonts w:ascii="Arial" w:hAnsi="Arial" w:cs="Arial"/>
        </w:rPr>
        <w:t>)</w:t>
      </w:r>
      <w:r>
        <w:rPr>
          <w:rFonts w:ascii="Arial" w:hAnsi="Arial" w:cs="Arial"/>
        </w:rPr>
        <w:t>.</w:t>
      </w:r>
      <w:r w:rsidRPr="00EB2B9D">
        <w:rPr>
          <w:rFonts w:ascii="Arial" w:hAnsi="Arial" w:cs="Arial"/>
        </w:rPr>
        <w:t xml:space="preserve"> </w:t>
      </w:r>
    </w:p>
    <w:p w14:paraId="7FACBA82" w14:textId="77777777" w:rsidR="00EE33A3" w:rsidRDefault="00EE33A3" w:rsidP="00EE33A3">
      <w:pPr>
        <w:rPr>
          <w:rFonts w:ascii="Arial" w:hAnsi="Arial" w:cs="Arial"/>
        </w:rPr>
      </w:pPr>
    </w:p>
    <w:p w14:paraId="207C05B7" w14:textId="69EBD1E2" w:rsidR="00EE33A3" w:rsidRPr="007753CF" w:rsidRDefault="007753CF" w:rsidP="00EE33A3">
      <w:pPr>
        <w:rPr>
          <w:rFonts w:ascii="Arial" w:hAnsi="Arial" w:cs="Arial"/>
          <w:i/>
        </w:rPr>
      </w:pPr>
      <w:r w:rsidRPr="007753CF">
        <w:rPr>
          <w:rFonts w:ascii="Arial" w:hAnsi="Arial" w:cs="Arial"/>
          <w:i/>
        </w:rPr>
        <w:t>Infographic – Motoring Costs C</w:t>
      </w:r>
      <w:r w:rsidR="00EE33A3" w:rsidRPr="007753CF">
        <w:rPr>
          <w:rFonts w:ascii="Arial" w:hAnsi="Arial" w:cs="Arial"/>
          <w:i/>
        </w:rPr>
        <w:t>omparison at 1 July 2018</w:t>
      </w:r>
    </w:p>
    <w:p w14:paraId="50F3F3F4" w14:textId="77777777" w:rsidR="00EE33A3" w:rsidRPr="007753CF" w:rsidRDefault="00EE33A3" w:rsidP="00EE33A3">
      <w:pPr>
        <w:rPr>
          <w:rFonts w:ascii="Arial" w:hAnsi="Arial" w:cs="Arial"/>
        </w:rPr>
      </w:pPr>
    </w:p>
    <w:tbl>
      <w:tblPr>
        <w:tblW w:w="8540" w:type="dxa"/>
        <w:tblLook w:val="04A0" w:firstRow="1" w:lastRow="0" w:firstColumn="1" w:lastColumn="0" w:noHBand="0" w:noVBand="1"/>
      </w:tblPr>
      <w:tblGrid>
        <w:gridCol w:w="1180"/>
        <w:gridCol w:w="2380"/>
        <w:gridCol w:w="2440"/>
        <w:gridCol w:w="2540"/>
      </w:tblGrid>
      <w:tr w:rsidR="00EE33A3" w:rsidRPr="007753CF" w14:paraId="3FA66814" w14:textId="77777777" w:rsidTr="004046F0">
        <w:trPr>
          <w:trHeight w:val="630"/>
        </w:trPr>
        <w:tc>
          <w:tcPr>
            <w:tcW w:w="1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E2B381" w14:textId="77777777" w:rsidR="00EE33A3" w:rsidRPr="007753CF" w:rsidRDefault="00EE33A3" w:rsidP="004046F0">
            <w:pPr>
              <w:rPr>
                <w:rFonts w:ascii="Arial" w:hAnsi="Arial" w:cs="Arial"/>
                <w:color w:val="000000"/>
                <w:lang w:eastAsia="en-AU"/>
              </w:rPr>
            </w:pPr>
            <w:r w:rsidRPr="007753CF">
              <w:rPr>
                <w:rFonts w:ascii="Arial" w:hAnsi="Arial" w:cs="Arial"/>
                <w:color w:val="000000"/>
                <w:lang w:eastAsia="en-AU"/>
              </w:rPr>
              <w:t> </w:t>
            </w:r>
          </w:p>
        </w:tc>
        <w:tc>
          <w:tcPr>
            <w:tcW w:w="2380" w:type="dxa"/>
            <w:tcBorders>
              <w:top w:val="single" w:sz="4" w:space="0" w:color="auto"/>
              <w:left w:val="nil"/>
              <w:bottom w:val="single" w:sz="4" w:space="0" w:color="auto"/>
              <w:right w:val="single" w:sz="4" w:space="0" w:color="auto"/>
            </w:tcBorders>
            <w:shd w:val="clear" w:color="auto" w:fill="auto"/>
            <w:vAlign w:val="bottom"/>
            <w:hideMark/>
          </w:tcPr>
          <w:p w14:paraId="490D29DD"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 xml:space="preserve">Injury insurance premium </w:t>
            </w:r>
          </w:p>
        </w:tc>
        <w:tc>
          <w:tcPr>
            <w:tcW w:w="2440" w:type="dxa"/>
            <w:tcBorders>
              <w:top w:val="single" w:sz="4" w:space="0" w:color="auto"/>
              <w:left w:val="nil"/>
              <w:bottom w:val="single" w:sz="4" w:space="0" w:color="auto"/>
              <w:right w:val="single" w:sz="4" w:space="0" w:color="auto"/>
            </w:tcBorders>
            <w:shd w:val="clear" w:color="auto" w:fill="auto"/>
            <w:vAlign w:val="bottom"/>
            <w:hideMark/>
          </w:tcPr>
          <w:p w14:paraId="190BE080"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Registration</w:t>
            </w:r>
          </w:p>
        </w:tc>
        <w:tc>
          <w:tcPr>
            <w:tcW w:w="2540" w:type="dxa"/>
            <w:tcBorders>
              <w:top w:val="single" w:sz="4" w:space="0" w:color="auto"/>
              <w:left w:val="nil"/>
              <w:bottom w:val="single" w:sz="4" w:space="0" w:color="auto"/>
              <w:right w:val="single" w:sz="4" w:space="0" w:color="auto"/>
            </w:tcBorders>
            <w:shd w:val="clear" w:color="auto" w:fill="auto"/>
            <w:vAlign w:val="bottom"/>
            <w:hideMark/>
          </w:tcPr>
          <w:p w14:paraId="77B04079"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TOTAL</w:t>
            </w:r>
          </w:p>
        </w:tc>
      </w:tr>
      <w:tr w:rsidR="00EE33A3" w:rsidRPr="007753CF" w14:paraId="5CB61917" w14:textId="77777777" w:rsidTr="004046F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F3A67F"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WA</w:t>
            </w:r>
          </w:p>
        </w:tc>
        <w:tc>
          <w:tcPr>
            <w:tcW w:w="2380" w:type="dxa"/>
            <w:tcBorders>
              <w:top w:val="nil"/>
              <w:left w:val="nil"/>
              <w:bottom w:val="single" w:sz="4" w:space="0" w:color="auto"/>
              <w:right w:val="single" w:sz="4" w:space="0" w:color="auto"/>
            </w:tcBorders>
            <w:shd w:val="clear" w:color="auto" w:fill="auto"/>
            <w:noWrap/>
            <w:vAlign w:val="bottom"/>
            <w:hideMark/>
          </w:tcPr>
          <w:p w14:paraId="3747512B"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$431</w:t>
            </w:r>
          </w:p>
        </w:tc>
        <w:tc>
          <w:tcPr>
            <w:tcW w:w="2440" w:type="dxa"/>
            <w:tcBorders>
              <w:top w:val="nil"/>
              <w:left w:val="nil"/>
              <w:bottom w:val="single" w:sz="4" w:space="0" w:color="auto"/>
              <w:right w:val="single" w:sz="4" w:space="0" w:color="auto"/>
            </w:tcBorders>
            <w:shd w:val="clear" w:color="000000" w:fill="FFFFFF"/>
            <w:noWrap/>
            <w:vAlign w:val="bottom"/>
            <w:hideMark/>
          </w:tcPr>
          <w:p w14:paraId="4601C25A"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$247</w:t>
            </w:r>
          </w:p>
        </w:tc>
        <w:tc>
          <w:tcPr>
            <w:tcW w:w="2540" w:type="dxa"/>
            <w:tcBorders>
              <w:top w:val="nil"/>
              <w:left w:val="nil"/>
              <w:bottom w:val="single" w:sz="4" w:space="0" w:color="auto"/>
              <w:right w:val="single" w:sz="4" w:space="0" w:color="auto"/>
            </w:tcBorders>
            <w:shd w:val="clear" w:color="auto" w:fill="auto"/>
            <w:noWrap/>
            <w:vAlign w:val="bottom"/>
            <w:hideMark/>
          </w:tcPr>
          <w:p w14:paraId="4C89C778"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$678</w:t>
            </w:r>
          </w:p>
        </w:tc>
      </w:tr>
      <w:tr w:rsidR="00EE33A3" w:rsidRPr="007753CF" w14:paraId="7515E2EF" w14:textId="77777777" w:rsidTr="004046F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0ED60AB"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TAS</w:t>
            </w:r>
          </w:p>
        </w:tc>
        <w:tc>
          <w:tcPr>
            <w:tcW w:w="2380" w:type="dxa"/>
            <w:tcBorders>
              <w:top w:val="nil"/>
              <w:left w:val="nil"/>
              <w:bottom w:val="single" w:sz="4" w:space="0" w:color="auto"/>
              <w:right w:val="single" w:sz="4" w:space="0" w:color="auto"/>
            </w:tcBorders>
            <w:shd w:val="clear" w:color="auto" w:fill="auto"/>
            <w:noWrap/>
            <w:vAlign w:val="bottom"/>
            <w:hideMark/>
          </w:tcPr>
          <w:p w14:paraId="3DA26DBE"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$314</w:t>
            </w:r>
          </w:p>
        </w:tc>
        <w:tc>
          <w:tcPr>
            <w:tcW w:w="2440" w:type="dxa"/>
            <w:tcBorders>
              <w:top w:val="nil"/>
              <w:left w:val="nil"/>
              <w:bottom w:val="single" w:sz="4" w:space="0" w:color="auto"/>
              <w:right w:val="single" w:sz="4" w:space="0" w:color="auto"/>
            </w:tcBorders>
            <w:shd w:val="clear" w:color="000000" w:fill="FFFFFF"/>
            <w:noWrap/>
            <w:vAlign w:val="bottom"/>
            <w:hideMark/>
          </w:tcPr>
          <w:p w14:paraId="1B58E1E6"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$248</w:t>
            </w:r>
          </w:p>
        </w:tc>
        <w:tc>
          <w:tcPr>
            <w:tcW w:w="2540" w:type="dxa"/>
            <w:tcBorders>
              <w:top w:val="nil"/>
              <w:left w:val="nil"/>
              <w:bottom w:val="single" w:sz="4" w:space="0" w:color="auto"/>
              <w:right w:val="single" w:sz="4" w:space="0" w:color="auto"/>
            </w:tcBorders>
            <w:shd w:val="clear" w:color="auto" w:fill="auto"/>
            <w:noWrap/>
            <w:vAlign w:val="bottom"/>
            <w:hideMark/>
          </w:tcPr>
          <w:p w14:paraId="3BDF0028"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$562</w:t>
            </w:r>
          </w:p>
        </w:tc>
      </w:tr>
      <w:tr w:rsidR="00EE33A3" w:rsidRPr="007753CF" w14:paraId="60B1F2B4" w14:textId="77777777" w:rsidTr="004046F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3AFD3F2"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QLD</w:t>
            </w:r>
          </w:p>
        </w:tc>
        <w:tc>
          <w:tcPr>
            <w:tcW w:w="2380" w:type="dxa"/>
            <w:tcBorders>
              <w:top w:val="nil"/>
              <w:left w:val="nil"/>
              <w:bottom w:val="single" w:sz="4" w:space="0" w:color="auto"/>
              <w:right w:val="single" w:sz="4" w:space="0" w:color="auto"/>
            </w:tcBorders>
            <w:shd w:val="clear" w:color="auto" w:fill="auto"/>
            <w:noWrap/>
            <w:vAlign w:val="bottom"/>
            <w:hideMark/>
          </w:tcPr>
          <w:p w14:paraId="6B62E51F"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$350</w:t>
            </w:r>
          </w:p>
        </w:tc>
        <w:tc>
          <w:tcPr>
            <w:tcW w:w="2440" w:type="dxa"/>
            <w:tcBorders>
              <w:top w:val="nil"/>
              <w:left w:val="nil"/>
              <w:bottom w:val="single" w:sz="4" w:space="0" w:color="auto"/>
              <w:right w:val="single" w:sz="4" w:space="0" w:color="auto"/>
            </w:tcBorders>
            <w:shd w:val="clear" w:color="000000" w:fill="FFFFFF"/>
            <w:noWrap/>
            <w:vAlign w:val="bottom"/>
            <w:hideMark/>
          </w:tcPr>
          <w:p w14:paraId="4BFCB9EA"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$377</w:t>
            </w:r>
          </w:p>
        </w:tc>
        <w:tc>
          <w:tcPr>
            <w:tcW w:w="2540" w:type="dxa"/>
            <w:tcBorders>
              <w:top w:val="nil"/>
              <w:left w:val="nil"/>
              <w:bottom w:val="single" w:sz="4" w:space="0" w:color="auto"/>
              <w:right w:val="single" w:sz="4" w:space="0" w:color="auto"/>
            </w:tcBorders>
            <w:shd w:val="clear" w:color="auto" w:fill="auto"/>
            <w:noWrap/>
            <w:vAlign w:val="bottom"/>
            <w:hideMark/>
          </w:tcPr>
          <w:p w14:paraId="39753653"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$727</w:t>
            </w:r>
          </w:p>
        </w:tc>
      </w:tr>
      <w:tr w:rsidR="00EE33A3" w:rsidRPr="007753CF" w14:paraId="2631A2C7" w14:textId="77777777" w:rsidTr="004046F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5B8DA74"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VIC</w:t>
            </w:r>
          </w:p>
        </w:tc>
        <w:tc>
          <w:tcPr>
            <w:tcW w:w="2380" w:type="dxa"/>
            <w:tcBorders>
              <w:top w:val="nil"/>
              <w:left w:val="nil"/>
              <w:bottom w:val="single" w:sz="4" w:space="0" w:color="auto"/>
              <w:right w:val="single" w:sz="4" w:space="0" w:color="auto"/>
            </w:tcBorders>
            <w:shd w:val="clear" w:color="auto" w:fill="auto"/>
            <w:noWrap/>
            <w:vAlign w:val="bottom"/>
            <w:hideMark/>
          </w:tcPr>
          <w:p w14:paraId="3FA15FAB"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$521</w:t>
            </w:r>
          </w:p>
        </w:tc>
        <w:tc>
          <w:tcPr>
            <w:tcW w:w="2440" w:type="dxa"/>
            <w:tcBorders>
              <w:top w:val="nil"/>
              <w:left w:val="nil"/>
              <w:bottom w:val="single" w:sz="4" w:space="0" w:color="auto"/>
              <w:right w:val="single" w:sz="4" w:space="0" w:color="auto"/>
            </w:tcBorders>
            <w:shd w:val="clear" w:color="000000" w:fill="FFFFFF"/>
            <w:noWrap/>
            <w:vAlign w:val="bottom"/>
            <w:hideMark/>
          </w:tcPr>
          <w:p w14:paraId="2CE0008F"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$295</w:t>
            </w:r>
          </w:p>
        </w:tc>
        <w:tc>
          <w:tcPr>
            <w:tcW w:w="2540" w:type="dxa"/>
            <w:tcBorders>
              <w:top w:val="nil"/>
              <w:left w:val="nil"/>
              <w:bottom w:val="single" w:sz="4" w:space="0" w:color="auto"/>
              <w:right w:val="single" w:sz="4" w:space="0" w:color="auto"/>
            </w:tcBorders>
            <w:shd w:val="clear" w:color="auto" w:fill="auto"/>
            <w:noWrap/>
            <w:vAlign w:val="bottom"/>
            <w:hideMark/>
          </w:tcPr>
          <w:p w14:paraId="288234D5"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$816</w:t>
            </w:r>
          </w:p>
        </w:tc>
      </w:tr>
      <w:tr w:rsidR="00EE33A3" w:rsidRPr="007753CF" w14:paraId="1B5043E6" w14:textId="77777777" w:rsidTr="004046F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93E6623"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SA</w:t>
            </w:r>
          </w:p>
        </w:tc>
        <w:tc>
          <w:tcPr>
            <w:tcW w:w="2380" w:type="dxa"/>
            <w:tcBorders>
              <w:top w:val="nil"/>
              <w:left w:val="nil"/>
              <w:bottom w:val="single" w:sz="4" w:space="0" w:color="auto"/>
              <w:right w:val="single" w:sz="4" w:space="0" w:color="auto"/>
            </w:tcBorders>
            <w:shd w:val="clear" w:color="auto" w:fill="auto"/>
            <w:noWrap/>
            <w:vAlign w:val="bottom"/>
            <w:hideMark/>
          </w:tcPr>
          <w:p w14:paraId="49E12F3F"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$522</w:t>
            </w:r>
          </w:p>
        </w:tc>
        <w:tc>
          <w:tcPr>
            <w:tcW w:w="2440" w:type="dxa"/>
            <w:tcBorders>
              <w:top w:val="nil"/>
              <w:left w:val="nil"/>
              <w:bottom w:val="single" w:sz="4" w:space="0" w:color="auto"/>
              <w:right w:val="single" w:sz="4" w:space="0" w:color="auto"/>
            </w:tcBorders>
            <w:shd w:val="clear" w:color="000000" w:fill="FFFFFF"/>
            <w:noWrap/>
            <w:vAlign w:val="bottom"/>
            <w:hideMark/>
          </w:tcPr>
          <w:p w14:paraId="5EDE5841"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$225</w:t>
            </w:r>
          </w:p>
        </w:tc>
        <w:tc>
          <w:tcPr>
            <w:tcW w:w="2540" w:type="dxa"/>
            <w:tcBorders>
              <w:top w:val="nil"/>
              <w:left w:val="nil"/>
              <w:bottom w:val="single" w:sz="4" w:space="0" w:color="auto"/>
              <w:right w:val="single" w:sz="4" w:space="0" w:color="auto"/>
            </w:tcBorders>
            <w:shd w:val="clear" w:color="auto" w:fill="auto"/>
            <w:noWrap/>
            <w:vAlign w:val="bottom"/>
            <w:hideMark/>
          </w:tcPr>
          <w:p w14:paraId="12ECA3B0"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$747</w:t>
            </w:r>
          </w:p>
        </w:tc>
      </w:tr>
      <w:tr w:rsidR="00EE33A3" w:rsidRPr="007753CF" w14:paraId="5D2EC80F" w14:textId="77777777" w:rsidTr="004046F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49816E"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NT</w:t>
            </w:r>
          </w:p>
        </w:tc>
        <w:tc>
          <w:tcPr>
            <w:tcW w:w="2380" w:type="dxa"/>
            <w:tcBorders>
              <w:top w:val="nil"/>
              <w:left w:val="nil"/>
              <w:bottom w:val="single" w:sz="4" w:space="0" w:color="auto"/>
              <w:right w:val="single" w:sz="4" w:space="0" w:color="auto"/>
            </w:tcBorders>
            <w:shd w:val="clear" w:color="auto" w:fill="auto"/>
            <w:noWrap/>
            <w:vAlign w:val="bottom"/>
            <w:hideMark/>
          </w:tcPr>
          <w:p w14:paraId="2BF73F9D"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$552</w:t>
            </w:r>
          </w:p>
        </w:tc>
        <w:tc>
          <w:tcPr>
            <w:tcW w:w="2440" w:type="dxa"/>
            <w:tcBorders>
              <w:top w:val="nil"/>
              <w:left w:val="nil"/>
              <w:bottom w:val="single" w:sz="4" w:space="0" w:color="auto"/>
              <w:right w:val="single" w:sz="4" w:space="0" w:color="auto"/>
            </w:tcBorders>
            <w:shd w:val="clear" w:color="000000" w:fill="FFFFFF"/>
            <w:noWrap/>
            <w:vAlign w:val="bottom"/>
            <w:hideMark/>
          </w:tcPr>
          <w:p w14:paraId="47503E2E"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$150</w:t>
            </w:r>
          </w:p>
        </w:tc>
        <w:tc>
          <w:tcPr>
            <w:tcW w:w="2540" w:type="dxa"/>
            <w:tcBorders>
              <w:top w:val="nil"/>
              <w:left w:val="nil"/>
              <w:bottom w:val="single" w:sz="4" w:space="0" w:color="auto"/>
              <w:right w:val="single" w:sz="4" w:space="0" w:color="auto"/>
            </w:tcBorders>
            <w:shd w:val="clear" w:color="auto" w:fill="auto"/>
            <w:noWrap/>
            <w:vAlign w:val="bottom"/>
            <w:hideMark/>
          </w:tcPr>
          <w:p w14:paraId="6C6E43E0"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$702</w:t>
            </w:r>
          </w:p>
        </w:tc>
      </w:tr>
      <w:tr w:rsidR="00EE33A3" w:rsidRPr="007753CF" w14:paraId="06715FFF" w14:textId="77777777" w:rsidTr="004046F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6BDBFA3"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ACT</w:t>
            </w:r>
          </w:p>
        </w:tc>
        <w:tc>
          <w:tcPr>
            <w:tcW w:w="2380" w:type="dxa"/>
            <w:tcBorders>
              <w:top w:val="nil"/>
              <w:left w:val="nil"/>
              <w:bottom w:val="single" w:sz="4" w:space="0" w:color="auto"/>
              <w:right w:val="single" w:sz="4" w:space="0" w:color="auto"/>
            </w:tcBorders>
            <w:shd w:val="clear" w:color="auto" w:fill="auto"/>
            <w:noWrap/>
            <w:vAlign w:val="bottom"/>
            <w:hideMark/>
          </w:tcPr>
          <w:p w14:paraId="186DC867"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$588</w:t>
            </w:r>
          </w:p>
        </w:tc>
        <w:tc>
          <w:tcPr>
            <w:tcW w:w="2440" w:type="dxa"/>
            <w:tcBorders>
              <w:top w:val="nil"/>
              <w:left w:val="nil"/>
              <w:bottom w:val="single" w:sz="4" w:space="0" w:color="auto"/>
              <w:right w:val="single" w:sz="4" w:space="0" w:color="auto"/>
            </w:tcBorders>
            <w:shd w:val="clear" w:color="000000" w:fill="FFFFFF"/>
            <w:noWrap/>
            <w:vAlign w:val="bottom"/>
            <w:hideMark/>
          </w:tcPr>
          <w:p w14:paraId="46ADD861"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$343</w:t>
            </w:r>
          </w:p>
        </w:tc>
        <w:tc>
          <w:tcPr>
            <w:tcW w:w="2540" w:type="dxa"/>
            <w:tcBorders>
              <w:top w:val="nil"/>
              <w:left w:val="nil"/>
              <w:bottom w:val="single" w:sz="4" w:space="0" w:color="auto"/>
              <w:right w:val="single" w:sz="4" w:space="0" w:color="auto"/>
            </w:tcBorders>
            <w:shd w:val="clear" w:color="auto" w:fill="auto"/>
            <w:noWrap/>
            <w:vAlign w:val="bottom"/>
            <w:hideMark/>
          </w:tcPr>
          <w:p w14:paraId="1652ED96"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$931</w:t>
            </w:r>
          </w:p>
        </w:tc>
      </w:tr>
      <w:tr w:rsidR="00EE33A3" w:rsidRPr="00476E5D" w14:paraId="2E54135A" w14:textId="77777777" w:rsidTr="004046F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67C7E92" w14:textId="77777777" w:rsidR="00EE33A3" w:rsidRPr="007753CF" w:rsidRDefault="00EE33A3" w:rsidP="004046F0">
            <w:pPr>
              <w:rPr>
                <w:rFonts w:ascii="Arial" w:hAnsi="Arial" w:cs="Arial"/>
                <w:b/>
                <w:bCs/>
                <w:color w:val="000000"/>
                <w:lang w:eastAsia="en-AU"/>
              </w:rPr>
            </w:pPr>
            <w:r w:rsidRPr="007753CF">
              <w:rPr>
                <w:rFonts w:ascii="Arial" w:hAnsi="Arial" w:cs="Arial"/>
                <w:b/>
                <w:bCs/>
                <w:color w:val="000000"/>
                <w:lang w:eastAsia="en-AU"/>
              </w:rPr>
              <w:t>NSW</w:t>
            </w:r>
          </w:p>
        </w:tc>
        <w:tc>
          <w:tcPr>
            <w:tcW w:w="2380" w:type="dxa"/>
            <w:tcBorders>
              <w:top w:val="nil"/>
              <w:left w:val="nil"/>
              <w:bottom w:val="single" w:sz="4" w:space="0" w:color="auto"/>
              <w:right w:val="single" w:sz="4" w:space="0" w:color="auto"/>
            </w:tcBorders>
            <w:shd w:val="clear" w:color="auto" w:fill="auto"/>
            <w:noWrap/>
            <w:vAlign w:val="bottom"/>
            <w:hideMark/>
          </w:tcPr>
          <w:p w14:paraId="31108513"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$574</w:t>
            </w:r>
          </w:p>
        </w:tc>
        <w:tc>
          <w:tcPr>
            <w:tcW w:w="2440" w:type="dxa"/>
            <w:tcBorders>
              <w:top w:val="nil"/>
              <w:left w:val="nil"/>
              <w:bottom w:val="single" w:sz="4" w:space="0" w:color="auto"/>
              <w:right w:val="single" w:sz="4" w:space="0" w:color="auto"/>
            </w:tcBorders>
            <w:shd w:val="clear" w:color="000000" w:fill="FFFFFF"/>
            <w:noWrap/>
            <w:vAlign w:val="bottom"/>
            <w:hideMark/>
          </w:tcPr>
          <w:p w14:paraId="61CE022B" w14:textId="77777777" w:rsidR="00EE33A3" w:rsidRPr="007753CF" w:rsidRDefault="00EE33A3" w:rsidP="004046F0">
            <w:pPr>
              <w:jc w:val="right"/>
              <w:rPr>
                <w:rFonts w:ascii="Arial" w:hAnsi="Arial" w:cs="Arial"/>
                <w:color w:val="000000"/>
                <w:lang w:eastAsia="en-AU"/>
              </w:rPr>
            </w:pPr>
            <w:r w:rsidRPr="007753CF">
              <w:rPr>
                <w:rFonts w:ascii="Arial" w:hAnsi="Arial" w:cs="Arial"/>
                <w:color w:val="000000"/>
                <w:lang w:eastAsia="en-AU"/>
              </w:rPr>
              <w:t>$277</w:t>
            </w:r>
          </w:p>
        </w:tc>
        <w:tc>
          <w:tcPr>
            <w:tcW w:w="2540" w:type="dxa"/>
            <w:tcBorders>
              <w:top w:val="nil"/>
              <w:left w:val="nil"/>
              <w:bottom w:val="single" w:sz="4" w:space="0" w:color="auto"/>
              <w:right w:val="single" w:sz="4" w:space="0" w:color="auto"/>
            </w:tcBorders>
            <w:shd w:val="clear" w:color="auto" w:fill="auto"/>
            <w:noWrap/>
            <w:vAlign w:val="bottom"/>
            <w:hideMark/>
          </w:tcPr>
          <w:p w14:paraId="37360469" w14:textId="77777777" w:rsidR="00EE33A3" w:rsidRPr="00476E5D" w:rsidRDefault="00EE33A3" w:rsidP="004046F0">
            <w:pPr>
              <w:jc w:val="right"/>
              <w:rPr>
                <w:rFonts w:ascii="Arial" w:hAnsi="Arial" w:cs="Arial"/>
                <w:color w:val="000000"/>
                <w:lang w:eastAsia="en-AU"/>
              </w:rPr>
            </w:pPr>
            <w:r w:rsidRPr="007753CF">
              <w:rPr>
                <w:rFonts w:ascii="Arial" w:hAnsi="Arial" w:cs="Arial"/>
                <w:color w:val="000000"/>
                <w:lang w:eastAsia="en-AU"/>
              </w:rPr>
              <w:t>$851</w:t>
            </w:r>
          </w:p>
        </w:tc>
      </w:tr>
    </w:tbl>
    <w:p w14:paraId="6A772A0D" w14:textId="77777777" w:rsidR="00EE33A3" w:rsidRDefault="00EE33A3" w:rsidP="00EE33A3">
      <w:pPr>
        <w:pStyle w:val="NoParagraphStyle"/>
        <w:suppressAutoHyphens/>
        <w:spacing w:line="240" w:lineRule="auto"/>
        <w:jc w:val="both"/>
        <w:rPr>
          <w:rFonts w:ascii="Arial" w:hAnsi="Arial" w:cs="Arial"/>
          <w:b/>
          <w:bCs/>
          <w:smallCaps/>
          <w:color w:val="auto"/>
          <w:szCs w:val="20"/>
          <w:lang w:val="en-US" w:eastAsia="en-US"/>
        </w:rPr>
      </w:pPr>
    </w:p>
    <w:p w14:paraId="78952410" w14:textId="77777777" w:rsidR="00EE33A3" w:rsidRDefault="00EE33A3" w:rsidP="00EE33A3">
      <w:pPr>
        <w:pStyle w:val="NoParagraphStyle"/>
        <w:suppressAutoHyphens/>
        <w:spacing w:line="240" w:lineRule="auto"/>
        <w:jc w:val="both"/>
        <w:rPr>
          <w:rFonts w:ascii="Arial" w:hAnsi="Arial" w:cs="Arial"/>
          <w:b/>
          <w:sz w:val="28"/>
          <w:szCs w:val="28"/>
        </w:rPr>
      </w:pPr>
    </w:p>
    <w:p w14:paraId="0C9576DF" w14:textId="77777777" w:rsidR="00EE33A3" w:rsidRPr="00BB3520" w:rsidRDefault="00EE33A3" w:rsidP="00EE33A3">
      <w:pPr>
        <w:pStyle w:val="NoParagraphStyle"/>
        <w:suppressAutoHyphens/>
        <w:spacing w:line="240" w:lineRule="auto"/>
        <w:jc w:val="both"/>
        <w:rPr>
          <w:rFonts w:ascii="Arial" w:hAnsi="Arial" w:cs="Arial"/>
          <w:b/>
          <w:sz w:val="28"/>
          <w:szCs w:val="28"/>
        </w:rPr>
      </w:pPr>
      <w:r w:rsidRPr="00BB3520">
        <w:rPr>
          <w:rFonts w:ascii="Arial" w:hAnsi="Arial" w:cs="Arial"/>
          <w:b/>
          <w:sz w:val="28"/>
          <w:szCs w:val="28"/>
        </w:rPr>
        <w:t>Claims</w:t>
      </w:r>
    </w:p>
    <w:p w14:paraId="5CFE02A1" w14:textId="77777777" w:rsidR="00EE33A3" w:rsidRDefault="00EE33A3" w:rsidP="00EE33A3">
      <w:pPr>
        <w:pStyle w:val="NoParagraphStyle"/>
        <w:suppressAutoHyphens/>
        <w:spacing w:line="240" w:lineRule="auto"/>
        <w:jc w:val="both"/>
        <w:rPr>
          <w:rFonts w:ascii="Arial" w:hAnsi="Arial" w:cs="Arial"/>
        </w:rPr>
      </w:pPr>
      <w:r w:rsidRPr="003A2B4D">
        <w:rPr>
          <w:rFonts w:ascii="Arial" w:hAnsi="Arial" w:cs="Arial"/>
        </w:rPr>
        <w:t xml:space="preserve">The Motor Injury Insurance Division received </w:t>
      </w:r>
      <w:r>
        <w:rPr>
          <w:rFonts w:ascii="Arial" w:hAnsi="Arial" w:cs="Arial"/>
        </w:rPr>
        <w:t>11,818</w:t>
      </w:r>
      <w:r w:rsidRPr="00553FBD">
        <w:rPr>
          <w:rFonts w:ascii="Arial" w:hAnsi="Arial" w:cs="Arial"/>
        </w:rPr>
        <w:t xml:space="preserve"> </w:t>
      </w:r>
      <w:r w:rsidRPr="003A2B4D">
        <w:rPr>
          <w:rFonts w:ascii="Arial" w:hAnsi="Arial" w:cs="Arial"/>
        </w:rPr>
        <w:t xml:space="preserve">new </w:t>
      </w:r>
      <w:r>
        <w:rPr>
          <w:rFonts w:ascii="Arial" w:hAnsi="Arial" w:cs="Arial"/>
        </w:rPr>
        <w:t xml:space="preserve">motor injury insurance claims </w:t>
      </w:r>
      <w:r w:rsidRPr="003A2B4D">
        <w:rPr>
          <w:rFonts w:ascii="Arial" w:hAnsi="Arial" w:cs="Arial"/>
        </w:rPr>
        <w:t>in 2018</w:t>
      </w:r>
      <w:r>
        <w:rPr>
          <w:rFonts w:ascii="Arial" w:hAnsi="Arial" w:cs="Arial"/>
        </w:rPr>
        <w:t>.</w:t>
      </w:r>
    </w:p>
    <w:p w14:paraId="17B7CE7B" w14:textId="77777777" w:rsidR="00EE33A3" w:rsidRDefault="00EE33A3" w:rsidP="00EE33A3">
      <w:pPr>
        <w:pStyle w:val="NoParagraphStyle"/>
        <w:suppressAutoHyphens/>
        <w:spacing w:line="240" w:lineRule="auto"/>
        <w:jc w:val="both"/>
        <w:rPr>
          <w:rFonts w:ascii="Arial" w:hAnsi="Arial" w:cs="Arial"/>
        </w:rPr>
      </w:pPr>
    </w:p>
    <w:p w14:paraId="19DD82AC"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lastRenderedPageBreak/>
        <w:t>CTP Compensation Claims – 3,191</w:t>
      </w:r>
    </w:p>
    <w:p w14:paraId="61EAB801"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CTP Minor Injury Claims – 8,588</w:t>
      </w:r>
    </w:p>
    <w:p w14:paraId="04A1FA90"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CIS Scheme Claims - 39</w:t>
      </w:r>
    </w:p>
    <w:p w14:paraId="5516093A"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Total Claims – 11,818</w:t>
      </w:r>
    </w:p>
    <w:p w14:paraId="496CE8A3" w14:textId="77777777" w:rsidR="00EE33A3" w:rsidRDefault="00EE33A3" w:rsidP="00EE33A3">
      <w:pPr>
        <w:pStyle w:val="NoParagraphStyle"/>
        <w:suppressAutoHyphens/>
        <w:spacing w:line="240" w:lineRule="auto"/>
        <w:jc w:val="both"/>
        <w:rPr>
          <w:rFonts w:ascii="Arial" w:hAnsi="Arial" w:cs="Arial"/>
        </w:rPr>
      </w:pPr>
    </w:p>
    <w:p w14:paraId="722584A3"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 xml:space="preserve">There are two </w:t>
      </w:r>
      <w:r w:rsidRPr="003A2B4D">
        <w:rPr>
          <w:rFonts w:ascii="Arial" w:hAnsi="Arial" w:cs="Arial"/>
        </w:rPr>
        <w:t xml:space="preserve">categories of </w:t>
      </w:r>
      <w:r>
        <w:rPr>
          <w:rFonts w:ascii="Arial" w:hAnsi="Arial" w:cs="Arial"/>
        </w:rPr>
        <w:t xml:space="preserve">CTP scheme </w:t>
      </w:r>
      <w:r w:rsidRPr="003A2B4D">
        <w:rPr>
          <w:rFonts w:ascii="Arial" w:hAnsi="Arial" w:cs="Arial"/>
        </w:rPr>
        <w:t>claims received by the Insurance Commission</w:t>
      </w:r>
      <w:r>
        <w:rPr>
          <w:rFonts w:ascii="Arial" w:hAnsi="Arial" w:cs="Arial"/>
        </w:rPr>
        <w:t>:</w:t>
      </w:r>
      <w:r w:rsidRPr="003A2B4D">
        <w:rPr>
          <w:rFonts w:ascii="Arial" w:hAnsi="Arial" w:cs="Arial"/>
        </w:rPr>
        <w:t xml:space="preserve"> </w:t>
      </w:r>
      <w:r>
        <w:rPr>
          <w:rFonts w:ascii="Arial" w:hAnsi="Arial" w:cs="Arial"/>
        </w:rPr>
        <w:t xml:space="preserve">minor injury claims and compensation claims. </w:t>
      </w:r>
    </w:p>
    <w:p w14:paraId="245E4FBC" w14:textId="77777777" w:rsidR="00EE33A3" w:rsidRDefault="00EE33A3" w:rsidP="00EE33A3">
      <w:pPr>
        <w:pStyle w:val="NoParagraphStyle"/>
        <w:suppressAutoHyphens/>
        <w:spacing w:line="240" w:lineRule="auto"/>
        <w:jc w:val="both"/>
        <w:rPr>
          <w:rFonts w:ascii="Arial" w:hAnsi="Arial" w:cs="Arial"/>
        </w:rPr>
      </w:pPr>
    </w:p>
    <w:p w14:paraId="5125B623"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 xml:space="preserve">A minor injury claim is where </w:t>
      </w:r>
      <w:r w:rsidRPr="003A2B4D">
        <w:rPr>
          <w:rFonts w:ascii="Arial" w:hAnsi="Arial" w:cs="Arial"/>
        </w:rPr>
        <w:t>a claimant has a minor crash injury caused by another driver and is seeking reimbursement for a medical bill</w:t>
      </w:r>
      <w:r>
        <w:rPr>
          <w:rFonts w:ascii="Arial" w:hAnsi="Arial" w:cs="Arial"/>
        </w:rPr>
        <w:t>. These claims are</w:t>
      </w:r>
      <w:r w:rsidRPr="003A2B4D">
        <w:rPr>
          <w:rFonts w:ascii="Arial" w:hAnsi="Arial" w:cs="Arial"/>
        </w:rPr>
        <w:t xml:space="preserve"> </w:t>
      </w:r>
      <w:r>
        <w:rPr>
          <w:rFonts w:ascii="Arial" w:hAnsi="Arial" w:cs="Arial"/>
        </w:rPr>
        <w:t xml:space="preserve">usually </w:t>
      </w:r>
      <w:r w:rsidRPr="003A2B4D">
        <w:rPr>
          <w:rFonts w:ascii="Arial" w:hAnsi="Arial" w:cs="Arial"/>
        </w:rPr>
        <w:t xml:space="preserve">paid and settled quickly. There were </w:t>
      </w:r>
      <w:r>
        <w:rPr>
          <w:rFonts w:ascii="Arial" w:hAnsi="Arial" w:cs="Arial"/>
        </w:rPr>
        <w:t>8,588</w:t>
      </w:r>
      <w:r w:rsidRPr="003A2B4D">
        <w:rPr>
          <w:rFonts w:ascii="Arial" w:hAnsi="Arial" w:cs="Arial"/>
        </w:rPr>
        <w:t xml:space="preserve"> minor injury claims received in 201</w:t>
      </w:r>
      <w:r w:rsidRPr="00553FBD">
        <w:rPr>
          <w:rFonts w:ascii="Arial" w:hAnsi="Arial" w:cs="Arial"/>
        </w:rPr>
        <w:t>8</w:t>
      </w:r>
      <w:r w:rsidRPr="003A2B4D">
        <w:rPr>
          <w:rFonts w:ascii="Arial" w:hAnsi="Arial" w:cs="Arial"/>
        </w:rPr>
        <w:t>.</w:t>
      </w:r>
    </w:p>
    <w:p w14:paraId="2EC94A90" w14:textId="77777777" w:rsidR="00EE33A3" w:rsidRDefault="00EE33A3" w:rsidP="00EE33A3">
      <w:pPr>
        <w:pStyle w:val="NoParagraphStyle"/>
        <w:suppressAutoHyphens/>
        <w:spacing w:line="240" w:lineRule="auto"/>
        <w:jc w:val="both"/>
        <w:rPr>
          <w:rFonts w:ascii="Arial" w:hAnsi="Arial" w:cs="Arial"/>
        </w:rPr>
      </w:pPr>
    </w:p>
    <w:p w14:paraId="7B3E34B9"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 xml:space="preserve">A compensation claim is where a claimant sustained </w:t>
      </w:r>
      <w:r w:rsidRPr="00BB3520">
        <w:rPr>
          <w:rFonts w:ascii="Arial" w:hAnsi="Arial" w:cs="Arial"/>
        </w:rPr>
        <w:t xml:space="preserve">more significant </w:t>
      </w:r>
      <w:r>
        <w:rPr>
          <w:rFonts w:ascii="Arial" w:hAnsi="Arial" w:cs="Arial"/>
        </w:rPr>
        <w:t xml:space="preserve">crash </w:t>
      </w:r>
      <w:r w:rsidRPr="00BB3520">
        <w:rPr>
          <w:rFonts w:ascii="Arial" w:hAnsi="Arial" w:cs="Arial"/>
        </w:rPr>
        <w:t>injuries</w:t>
      </w:r>
      <w:r>
        <w:rPr>
          <w:rFonts w:ascii="Arial" w:hAnsi="Arial" w:cs="Arial"/>
        </w:rPr>
        <w:t xml:space="preserve"> and is</w:t>
      </w:r>
      <w:r w:rsidRPr="00BB3520">
        <w:rPr>
          <w:rFonts w:ascii="Arial" w:hAnsi="Arial" w:cs="Arial"/>
        </w:rPr>
        <w:t xml:space="preserve"> eligible to claim additional compensation. These claims typically take longer to settle </w:t>
      </w:r>
      <w:r>
        <w:rPr>
          <w:rFonts w:ascii="Arial" w:hAnsi="Arial" w:cs="Arial"/>
        </w:rPr>
        <w:t>as</w:t>
      </w:r>
      <w:r w:rsidRPr="00BB3520">
        <w:rPr>
          <w:rFonts w:ascii="Arial" w:hAnsi="Arial" w:cs="Arial"/>
        </w:rPr>
        <w:t xml:space="preserve"> </w:t>
      </w:r>
      <w:r>
        <w:rPr>
          <w:rFonts w:ascii="Arial" w:hAnsi="Arial" w:cs="Arial"/>
        </w:rPr>
        <w:t xml:space="preserve">recovery and rehabilitation takes time. </w:t>
      </w:r>
      <w:r w:rsidRPr="00BB3520">
        <w:rPr>
          <w:rFonts w:ascii="Arial" w:hAnsi="Arial" w:cs="Arial"/>
        </w:rPr>
        <w:t xml:space="preserve">There were </w:t>
      </w:r>
      <w:r>
        <w:rPr>
          <w:rFonts w:ascii="Arial" w:hAnsi="Arial" w:cs="Arial"/>
        </w:rPr>
        <w:t xml:space="preserve">3,191 compensation </w:t>
      </w:r>
      <w:r w:rsidRPr="00BB3520">
        <w:rPr>
          <w:rFonts w:ascii="Arial" w:hAnsi="Arial" w:cs="Arial"/>
        </w:rPr>
        <w:t>claims received in 201</w:t>
      </w:r>
      <w:r>
        <w:rPr>
          <w:rFonts w:ascii="Arial" w:hAnsi="Arial" w:cs="Arial"/>
        </w:rPr>
        <w:t xml:space="preserve">8.  </w:t>
      </w:r>
    </w:p>
    <w:p w14:paraId="1C79A92D" w14:textId="77777777" w:rsidR="00EE33A3" w:rsidRDefault="00EE33A3" w:rsidP="00EE33A3">
      <w:pPr>
        <w:pStyle w:val="NoParagraphStyle"/>
        <w:suppressAutoHyphens/>
        <w:spacing w:line="240" w:lineRule="auto"/>
        <w:jc w:val="both"/>
        <w:rPr>
          <w:rFonts w:ascii="Arial" w:hAnsi="Arial" w:cs="Arial"/>
        </w:rPr>
      </w:pPr>
    </w:p>
    <w:p w14:paraId="025BE284"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 xml:space="preserve">There is only one category of CIS scheme claims received by the Insurance Commission. In 2018, the Insurance Commission received 37 new CIS scheme claims. </w:t>
      </w:r>
      <w:r w:rsidRPr="00F56AC1">
        <w:rPr>
          <w:rFonts w:ascii="Arial" w:hAnsi="Arial" w:cs="Arial"/>
        </w:rPr>
        <w:t>At 30 June 2018, the Insurance Commission was managing an additional 39 people with catastrophic injuries in the MVCIF, in addition to those remaining from the previous year.</w:t>
      </w:r>
    </w:p>
    <w:p w14:paraId="1A0D9A27" w14:textId="77777777" w:rsidR="00EE33A3" w:rsidRDefault="00EE33A3" w:rsidP="00EE33A3">
      <w:pPr>
        <w:pStyle w:val="NoParagraphStyle"/>
        <w:suppressAutoHyphens/>
        <w:spacing w:line="240" w:lineRule="auto"/>
        <w:jc w:val="both"/>
        <w:rPr>
          <w:rFonts w:ascii="Arial" w:hAnsi="Arial" w:cs="Arial"/>
        </w:rPr>
      </w:pPr>
    </w:p>
    <w:p w14:paraId="16DF867E" w14:textId="77777777" w:rsidR="00EE33A3" w:rsidRDefault="00EE33A3" w:rsidP="00EE33A3">
      <w:pPr>
        <w:pStyle w:val="NoParagraphStyle"/>
        <w:suppressAutoHyphens/>
        <w:spacing w:line="240" w:lineRule="auto"/>
        <w:jc w:val="both"/>
        <w:rPr>
          <w:rFonts w:ascii="Arial" w:hAnsi="Arial" w:cs="Arial"/>
        </w:rPr>
      </w:pPr>
      <w:r w:rsidRPr="00BB3520">
        <w:rPr>
          <w:rFonts w:ascii="Arial" w:hAnsi="Arial" w:cs="Arial"/>
        </w:rPr>
        <w:t>A</w:t>
      </w:r>
      <w:r>
        <w:rPr>
          <w:rFonts w:ascii="Arial" w:hAnsi="Arial" w:cs="Arial"/>
        </w:rPr>
        <w:t xml:space="preserve">s at 30 June 2018, </w:t>
      </w:r>
      <w:r w:rsidRPr="00BB3520">
        <w:rPr>
          <w:rFonts w:ascii="Arial" w:hAnsi="Arial" w:cs="Arial"/>
        </w:rPr>
        <w:t xml:space="preserve">the Motor Injury Insurance Division was managing </w:t>
      </w:r>
      <w:r>
        <w:rPr>
          <w:rFonts w:ascii="Arial" w:hAnsi="Arial" w:cs="Arial"/>
        </w:rPr>
        <w:t>6,034</w:t>
      </w:r>
      <w:r w:rsidRPr="00BB3520">
        <w:rPr>
          <w:rFonts w:ascii="Arial" w:hAnsi="Arial" w:cs="Arial"/>
        </w:rPr>
        <w:t xml:space="preserve"> </w:t>
      </w:r>
      <w:r>
        <w:rPr>
          <w:rFonts w:ascii="Arial" w:hAnsi="Arial" w:cs="Arial"/>
        </w:rPr>
        <w:t xml:space="preserve">open compensation </w:t>
      </w:r>
      <w:r w:rsidRPr="00BB3520">
        <w:rPr>
          <w:rFonts w:ascii="Arial" w:hAnsi="Arial" w:cs="Arial"/>
        </w:rPr>
        <w:t>claims</w:t>
      </w:r>
      <w:r>
        <w:rPr>
          <w:rFonts w:ascii="Arial" w:hAnsi="Arial" w:cs="Arial"/>
        </w:rPr>
        <w:t>. This was 82 claims more than the 5,952 open compensation claims at 1 July 2017. As the number of new compensation claims received in 2018 decreased by 179 claims compared to 2017, the higher open claim rate is due to fewer claims being finalised during the year. A</w:t>
      </w:r>
      <w:r w:rsidRPr="007D0327">
        <w:rPr>
          <w:rFonts w:ascii="Arial" w:hAnsi="Arial" w:cs="Arial"/>
        </w:rPr>
        <w:t xml:space="preserve"> number of claims on which settlement has b</w:t>
      </w:r>
      <w:r>
        <w:rPr>
          <w:rFonts w:ascii="Arial" w:hAnsi="Arial" w:cs="Arial"/>
        </w:rPr>
        <w:t>een agreed at 30 June 2018 are</w:t>
      </w:r>
      <w:r w:rsidRPr="007D0327">
        <w:rPr>
          <w:rFonts w:ascii="Arial" w:hAnsi="Arial" w:cs="Arial"/>
        </w:rPr>
        <w:t xml:space="preserve"> yet to be paid.</w:t>
      </w:r>
    </w:p>
    <w:p w14:paraId="18373C5C" w14:textId="77777777" w:rsidR="00EE33A3" w:rsidRDefault="00EE33A3" w:rsidP="00EE33A3">
      <w:pPr>
        <w:pStyle w:val="NoParagraphStyle"/>
        <w:suppressAutoHyphens/>
        <w:spacing w:line="240" w:lineRule="auto"/>
        <w:jc w:val="both"/>
        <w:rPr>
          <w:rFonts w:ascii="Arial" w:hAnsi="Arial" w:cs="Arial"/>
        </w:rPr>
      </w:pPr>
    </w:p>
    <w:p w14:paraId="1A134BD3"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An initiative implemented in 2018 was the establishment of a ‘long-duration’ claims team in the Motor Injury Insurance Division. At the start of 2018, there were almost 400 compensation claims that remained open for claims lodged in 2014 or earlier. Two major reasons why a claim may stay open this long are that:</w:t>
      </w:r>
    </w:p>
    <w:p w14:paraId="71508C2E" w14:textId="77777777" w:rsidR="00EE33A3" w:rsidRDefault="00EE33A3" w:rsidP="00EE33A3">
      <w:pPr>
        <w:pStyle w:val="NoParagraphStyle"/>
        <w:suppressAutoHyphens/>
        <w:spacing w:line="240" w:lineRule="auto"/>
        <w:jc w:val="both"/>
        <w:rPr>
          <w:rFonts w:ascii="Arial" w:hAnsi="Arial" w:cs="Arial"/>
        </w:rPr>
      </w:pPr>
    </w:p>
    <w:p w14:paraId="3A1EB932" w14:textId="77777777" w:rsidR="00EE33A3" w:rsidRDefault="00EE33A3" w:rsidP="00EE33A3">
      <w:pPr>
        <w:pStyle w:val="NoParagraphStyle"/>
        <w:numPr>
          <w:ilvl w:val="0"/>
          <w:numId w:val="31"/>
        </w:numPr>
        <w:suppressAutoHyphens/>
        <w:spacing w:line="240" w:lineRule="auto"/>
        <w:jc w:val="both"/>
        <w:rPr>
          <w:rFonts w:ascii="Arial" w:hAnsi="Arial" w:cs="Arial"/>
        </w:rPr>
      </w:pPr>
      <w:r>
        <w:rPr>
          <w:rFonts w:ascii="Arial" w:hAnsi="Arial" w:cs="Arial"/>
        </w:rPr>
        <w:t>the claimant is a child and the extent of their injuries may not be known until further development; or</w:t>
      </w:r>
    </w:p>
    <w:p w14:paraId="47B39000" w14:textId="77777777" w:rsidR="00EE33A3" w:rsidRDefault="00EE33A3" w:rsidP="00EE33A3">
      <w:pPr>
        <w:pStyle w:val="NoParagraphStyle"/>
        <w:numPr>
          <w:ilvl w:val="0"/>
          <w:numId w:val="31"/>
        </w:numPr>
        <w:suppressAutoHyphens/>
        <w:spacing w:line="240" w:lineRule="auto"/>
        <w:jc w:val="both"/>
        <w:rPr>
          <w:rFonts w:ascii="Arial" w:hAnsi="Arial" w:cs="Arial"/>
        </w:rPr>
      </w:pPr>
      <w:proofErr w:type="gramStart"/>
      <w:r>
        <w:rPr>
          <w:rFonts w:ascii="Arial" w:hAnsi="Arial" w:cs="Arial"/>
        </w:rPr>
        <w:t>the</w:t>
      </w:r>
      <w:proofErr w:type="gramEnd"/>
      <w:r>
        <w:rPr>
          <w:rFonts w:ascii="Arial" w:hAnsi="Arial" w:cs="Arial"/>
        </w:rPr>
        <w:t xml:space="preserve"> claimant has complex injuries where the recovery and rehabilitation process may take a long time before the extent of the injury and required compensation is known. </w:t>
      </w:r>
    </w:p>
    <w:p w14:paraId="4EA82BDD" w14:textId="77777777" w:rsidR="00EE33A3" w:rsidRDefault="00EE33A3" w:rsidP="00EE33A3">
      <w:pPr>
        <w:pStyle w:val="NoParagraphStyle"/>
        <w:suppressAutoHyphens/>
        <w:spacing w:line="240" w:lineRule="auto"/>
        <w:jc w:val="both"/>
        <w:rPr>
          <w:rFonts w:ascii="Arial" w:hAnsi="Arial" w:cs="Arial"/>
        </w:rPr>
      </w:pPr>
    </w:p>
    <w:p w14:paraId="24A78B4A"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 xml:space="preserve">The new long-duration claims team was established in April 2018, and has since finalised 40 long-duration claims. The establishment of this team is a customer service initiative of the Motor Injury Insurance Division to reduce the time it takes for long-duration claims to be finalised. </w:t>
      </w:r>
    </w:p>
    <w:p w14:paraId="4A974CBB" w14:textId="77777777" w:rsidR="00EE33A3" w:rsidRDefault="00EE33A3" w:rsidP="00EE33A3">
      <w:pPr>
        <w:pStyle w:val="NoParagraphStyle"/>
        <w:suppressAutoHyphens/>
        <w:spacing w:line="240" w:lineRule="auto"/>
        <w:jc w:val="both"/>
        <w:rPr>
          <w:rFonts w:ascii="Arial" w:hAnsi="Arial" w:cs="Arial"/>
        </w:rPr>
      </w:pPr>
    </w:p>
    <w:p w14:paraId="29677A47" w14:textId="77777777" w:rsidR="00EE33A3" w:rsidRPr="00BB3520" w:rsidRDefault="00EE33A3" w:rsidP="00EE33A3">
      <w:pPr>
        <w:pStyle w:val="NoParagraphStyle"/>
        <w:suppressAutoHyphens/>
        <w:spacing w:line="240" w:lineRule="auto"/>
        <w:jc w:val="both"/>
        <w:rPr>
          <w:rFonts w:ascii="Arial" w:hAnsi="Arial" w:cs="Arial"/>
          <w:b/>
          <w:sz w:val="28"/>
          <w:szCs w:val="28"/>
        </w:rPr>
      </w:pPr>
      <w:r w:rsidRPr="00BB3520">
        <w:rPr>
          <w:rFonts w:ascii="Arial" w:hAnsi="Arial" w:cs="Arial"/>
          <w:b/>
          <w:sz w:val="28"/>
          <w:szCs w:val="28"/>
        </w:rPr>
        <w:t>Costs</w:t>
      </w:r>
    </w:p>
    <w:p w14:paraId="01CAAF31" w14:textId="77777777" w:rsidR="00EE33A3" w:rsidRPr="00C31729" w:rsidRDefault="00EE33A3" w:rsidP="00EE33A3">
      <w:pPr>
        <w:autoSpaceDE w:val="0"/>
        <w:autoSpaceDN w:val="0"/>
        <w:adjustRightInd w:val="0"/>
        <w:rPr>
          <w:rFonts w:ascii="Arial" w:hAnsi="Arial" w:cs="Arial"/>
        </w:rPr>
      </w:pPr>
      <w:r w:rsidRPr="00C31729">
        <w:rPr>
          <w:rFonts w:ascii="Arial" w:hAnsi="Arial" w:cs="Arial"/>
        </w:rPr>
        <w:t>The</w:t>
      </w:r>
      <w:r>
        <w:rPr>
          <w:rFonts w:ascii="Arial" w:hAnsi="Arial" w:cs="Arial"/>
        </w:rPr>
        <w:t xml:space="preserve"> Motor injury Insurance Division </w:t>
      </w:r>
      <w:r w:rsidRPr="00C31729">
        <w:rPr>
          <w:rFonts w:ascii="Arial" w:hAnsi="Arial" w:cs="Arial"/>
        </w:rPr>
        <w:t xml:space="preserve">managed </w:t>
      </w:r>
      <w:r>
        <w:rPr>
          <w:rFonts w:ascii="Arial" w:hAnsi="Arial" w:cs="Arial"/>
        </w:rPr>
        <w:t>motor injury</w:t>
      </w:r>
      <w:r w:rsidRPr="00C31729">
        <w:rPr>
          <w:rFonts w:ascii="Arial" w:hAnsi="Arial" w:cs="Arial"/>
        </w:rPr>
        <w:t xml:space="preserve"> claims value</w:t>
      </w:r>
      <w:r>
        <w:rPr>
          <w:rFonts w:ascii="Arial" w:hAnsi="Arial" w:cs="Arial"/>
        </w:rPr>
        <w:t xml:space="preserve">d at nearly </w:t>
      </w:r>
      <w:r w:rsidRPr="00C31729">
        <w:rPr>
          <w:rFonts w:ascii="Arial" w:hAnsi="Arial" w:cs="Arial"/>
        </w:rPr>
        <w:t>$</w:t>
      </w:r>
      <w:r>
        <w:rPr>
          <w:rFonts w:ascii="Arial" w:hAnsi="Arial" w:cs="Arial"/>
        </w:rPr>
        <w:t>2.8</w:t>
      </w:r>
      <w:r w:rsidRPr="00C31729">
        <w:rPr>
          <w:rFonts w:ascii="Arial" w:hAnsi="Arial" w:cs="Arial"/>
        </w:rPr>
        <w:t xml:space="preserve"> billion </w:t>
      </w:r>
      <w:r>
        <w:rPr>
          <w:rFonts w:ascii="Arial" w:hAnsi="Arial" w:cs="Arial"/>
        </w:rPr>
        <w:t>in 2018</w:t>
      </w:r>
      <w:r w:rsidRPr="00C31729">
        <w:rPr>
          <w:rFonts w:ascii="Arial" w:hAnsi="Arial" w:cs="Arial"/>
        </w:rPr>
        <w:t>, consisting of $</w:t>
      </w:r>
      <w:r>
        <w:rPr>
          <w:rFonts w:ascii="Arial" w:hAnsi="Arial" w:cs="Arial"/>
        </w:rPr>
        <w:t>391.5</w:t>
      </w:r>
      <w:r w:rsidRPr="00C31729">
        <w:rPr>
          <w:rFonts w:ascii="Arial" w:hAnsi="Arial" w:cs="Arial"/>
        </w:rPr>
        <w:t xml:space="preserve"> million in claims payments to people injured in crashes</w:t>
      </w:r>
      <w:r>
        <w:rPr>
          <w:rFonts w:ascii="Arial" w:hAnsi="Arial" w:cs="Arial"/>
        </w:rPr>
        <w:t xml:space="preserve"> (</w:t>
      </w:r>
      <w:r w:rsidRPr="00C31729">
        <w:rPr>
          <w:rFonts w:ascii="Arial" w:hAnsi="Arial" w:cs="Arial"/>
        </w:rPr>
        <w:t>mostly in prior years</w:t>
      </w:r>
      <w:r>
        <w:rPr>
          <w:rFonts w:ascii="Arial" w:hAnsi="Arial" w:cs="Arial"/>
        </w:rPr>
        <w:t>)</w:t>
      </w:r>
      <w:r w:rsidRPr="00C31729">
        <w:rPr>
          <w:rFonts w:ascii="Arial" w:hAnsi="Arial" w:cs="Arial"/>
        </w:rPr>
        <w:t>, and anticipated future claims expenses of $</w:t>
      </w:r>
      <w:r>
        <w:rPr>
          <w:rFonts w:ascii="Arial" w:hAnsi="Arial" w:cs="Arial"/>
        </w:rPr>
        <w:t>2.4</w:t>
      </w:r>
      <w:r w:rsidRPr="00C31729">
        <w:rPr>
          <w:rFonts w:ascii="Arial" w:hAnsi="Arial" w:cs="Arial"/>
        </w:rPr>
        <w:t xml:space="preserve"> billion.</w:t>
      </w:r>
    </w:p>
    <w:p w14:paraId="57AFA385" w14:textId="77777777" w:rsidR="00EE33A3" w:rsidRDefault="00EE33A3" w:rsidP="00EE33A3">
      <w:pPr>
        <w:pStyle w:val="NoParagraphStyle"/>
        <w:suppressAutoHyphens/>
        <w:spacing w:line="240" w:lineRule="auto"/>
        <w:jc w:val="both"/>
        <w:rPr>
          <w:rFonts w:ascii="Arial" w:hAnsi="Arial" w:cs="Arial"/>
          <w:color w:val="auto"/>
          <w:lang w:val="en-AU"/>
        </w:rPr>
      </w:pPr>
    </w:p>
    <w:p w14:paraId="0821126B" w14:textId="77777777" w:rsidR="00EE33A3" w:rsidRPr="00BB3520" w:rsidRDefault="00EE33A3" w:rsidP="00EE33A3">
      <w:pPr>
        <w:pStyle w:val="NoParagraphStyle"/>
        <w:suppressAutoHyphens/>
        <w:spacing w:line="240" w:lineRule="auto"/>
        <w:jc w:val="both"/>
        <w:rPr>
          <w:rFonts w:ascii="Arial" w:hAnsi="Arial" w:cs="Arial"/>
          <w:color w:val="auto"/>
          <w:lang w:val="en-AU"/>
        </w:rPr>
      </w:pPr>
      <w:r>
        <w:rPr>
          <w:rFonts w:ascii="Arial" w:hAnsi="Arial" w:cs="Arial"/>
          <w:color w:val="auto"/>
          <w:lang w:val="en-AU"/>
        </w:rPr>
        <w:t>Forty-six</w:t>
      </w:r>
      <w:r w:rsidRPr="000E5DEB">
        <w:rPr>
          <w:rFonts w:ascii="Arial" w:hAnsi="Arial" w:cs="Arial"/>
          <w:color w:val="auto"/>
          <w:lang w:val="en-AU"/>
        </w:rPr>
        <w:t xml:space="preserve"> percent or $1</w:t>
      </w:r>
      <w:r>
        <w:rPr>
          <w:rFonts w:ascii="Arial" w:hAnsi="Arial" w:cs="Arial"/>
          <w:color w:val="auto"/>
          <w:lang w:val="en-AU"/>
        </w:rPr>
        <w:t>.1</w:t>
      </w:r>
      <w:r w:rsidRPr="000E5DEB">
        <w:rPr>
          <w:rFonts w:ascii="Arial" w:hAnsi="Arial" w:cs="Arial"/>
          <w:color w:val="auto"/>
          <w:lang w:val="en-AU"/>
        </w:rPr>
        <w:t xml:space="preserve"> billion of </w:t>
      </w:r>
      <w:r>
        <w:rPr>
          <w:rFonts w:ascii="Arial" w:hAnsi="Arial" w:cs="Arial"/>
          <w:color w:val="auto"/>
          <w:lang w:val="en-AU"/>
        </w:rPr>
        <w:t xml:space="preserve">estimated </w:t>
      </w:r>
      <w:r w:rsidRPr="000E5DEB">
        <w:rPr>
          <w:rFonts w:ascii="Arial" w:hAnsi="Arial" w:cs="Arial"/>
          <w:color w:val="auto"/>
          <w:lang w:val="en-AU"/>
        </w:rPr>
        <w:t xml:space="preserve">costs are for </w:t>
      </w:r>
      <w:r>
        <w:rPr>
          <w:rFonts w:ascii="Arial" w:hAnsi="Arial" w:cs="Arial"/>
          <w:color w:val="auto"/>
          <w:lang w:val="en-AU"/>
        </w:rPr>
        <w:t xml:space="preserve">future </w:t>
      </w:r>
      <w:r w:rsidRPr="000E5DEB">
        <w:rPr>
          <w:rFonts w:ascii="Arial" w:hAnsi="Arial" w:cs="Arial"/>
          <w:color w:val="auto"/>
          <w:lang w:val="en-AU"/>
        </w:rPr>
        <w:t>care</w:t>
      </w:r>
      <w:r>
        <w:rPr>
          <w:rFonts w:ascii="Arial" w:hAnsi="Arial" w:cs="Arial"/>
          <w:color w:val="auto"/>
          <w:lang w:val="en-AU"/>
        </w:rPr>
        <w:t xml:space="preserve"> to be</w:t>
      </w:r>
      <w:r w:rsidRPr="000E5DEB">
        <w:rPr>
          <w:rFonts w:ascii="Arial" w:hAnsi="Arial" w:cs="Arial"/>
          <w:color w:val="auto"/>
          <w:lang w:val="en-AU"/>
        </w:rPr>
        <w:t xml:space="preserve"> provided to people injured in car crashes. The table below displays the breakdown of </w:t>
      </w:r>
      <w:r>
        <w:rPr>
          <w:rFonts w:ascii="Arial" w:hAnsi="Arial" w:cs="Arial"/>
          <w:color w:val="auto"/>
          <w:lang w:val="en-AU"/>
        </w:rPr>
        <w:t xml:space="preserve">payments made and estimated future payments </w:t>
      </w:r>
      <w:r w:rsidRPr="000E5DEB">
        <w:rPr>
          <w:rFonts w:ascii="Arial" w:hAnsi="Arial" w:cs="Arial"/>
          <w:color w:val="auto"/>
          <w:lang w:val="en-AU"/>
        </w:rPr>
        <w:t>by major cost category at 30 June 201</w:t>
      </w:r>
      <w:r>
        <w:rPr>
          <w:rFonts w:ascii="Arial" w:hAnsi="Arial" w:cs="Arial"/>
          <w:color w:val="auto"/>
          <w:lang w:val="en-AU"/>
        </w:rPr>
        <w:t>8</w:t>
      </w:r>
      <w:r w:rsidRPr="000E5DEB">
        <w:rPr>
          <w:rFonts w:ascii="Arial" w:hAnsi="Arial" w:cs="Arial"/>
          <w:color w:val="auto"/>
          <w:lang w:val="en-AU"/>
        </w:rPr>
        <w:t>.</w:t>
      </w:r>
      <w:r w:rsidRPr="00BB3520">
        <w:rPr>
          <w:rFonts w:ascii="Arial" w:hAnsi="Arial" w:cs="Arial"/>
          <w:color w:val="auto"/>
          <w:lang w:val="en-AU"/>
        </w:rPr>
        <w:t xml:space="preserve"> </w:t>
      </w:r>
    </w:p>
    <w:p w14:paraId="77CC48F7" w14:textId="77777777" w:rsidR="00EE33A3" w:rsidRPr="00BB3520" w:rsidRDefault="00EE33A3" w:rsidP="00EE33A3">
      <w:pPr>
        <w:pStyle w:val="NoParagraphStyle"/>
        <w:suppressAutoHyphens/>
        <w:spacing w:line="240" w:lineRule="auto"/>
        <w:jc w:val="both"/>
        <w:rPr>
          <w:rFonts w:ascii="Arial" w:hAnsi="Arial" w:cs="Arial"/>
          <w:color w:val="auto"/>
          <w:lang w:val="en-AU"/>
        </w:rPr>
      </w:pPr>
    </w:p>
    <w:p w14:paraId="7318317A" w14:textId="1EB5ECFB" w:rsidR="00EE33A3" w:rsidRPr="007753CF" w:rsidRDefault="007753CF" w:rsidP="00EE33A3">
      <w:pPr>
        <w:pStyle w:val="NoParagraphStyle"/>
        <w:suppressAutoHyphens/>
        <w:spacing w:line="240" w:lineRule="auto"/>
        <w:jc w:val="both"/>
        <w:rPr>
          <w:rFonts w:ascii="Arial" w:hAnsi="Arial" w:cs="Arial"/>
          <w:i/>
          <w:color w:val="auto"/>
          <w:lang w:val="en-AU"/>
        </w:rPr>
      </w:pPr>
      <w:r>
        <w:rPr>
          <w:rFonts w:ascii="Arial" w:hAnsi="Arial" w:cs="Arial"/>
          <w:i/>
          <w:color w:val="auto"/>
          <w:lang w:val="en-AU"/>
        </w:rPr>
        <w:t>Infog</w:t>
      </w:r>
      <w:r w:rsidR="00EE33A3" w:rsidRPr="007753CF">
        <w:rPr>
          <w:rFonts w:ascii="Arial" w:hAnsi="Arial" w:cs="Arial"/>
          <w:i/>
          <w:color w:val="auto"/>
          <w:lang w:val="en-AU"/>
        </w:rPr>
        <w:t xml:space="preserve">raphic – Current and Outstanding Claims Costs </w:t>
      </w:r>
    </w:p>
    <w:p w14:paraId="022EF801" w14:textId="77777777" w:rsidR="00EE33A3" w:rsidRPr="007753CF" w:rsidRDefault="00EE33A3" w:rsidP="00EE33A3">
      <w:pPr>
        <w:pStyle w:val="NoParagraphStyle"/>
        <w:suppressAutoHyphens/>
        <w:spacing w:line="240" w:lineRule="auto"/>
        <w:jc w:val="both"/>
        <w:rPr>
          <w:rFonts w:ascii="Arial" w:hAnsi="Arial" w:cs="Arial"/>
          <w:color w:val="auto"/>
          <w:lang w:val="en-AU"/>
        </w:rPr>
      </w:pPr>
    </w:p>
    <w:tbl>
      <w:tblPr>
        <w:tblW w:w="6890" w:type="dxa"/>
        <w:tblLook w:val="04A0" w:firstRow="1" w:lastRow="0" w:firstColumn="1" w:lastColumn="0" w:noHBand="0" w:noVBand="1"/>
      </w:tblPr>
      <w:tblGrid>
        <w:gridCol w:w="3600"/>
        <w:gridCol w:w="1660"/>
        <w:gridCol w:w="1630"/>
      </w:tblGrid>
      <w:tr w:rsidR="00EE33A3" w:rsidRPr="007753CF" w14:paraId="31611C37" w14:textId="77777777" w:rsidTr="004046F0">
        <w:trPr>
          <w:trHeight w:val="630"/>
        </w:trPr>
        <w:tc>
          <w:tcPr>
            <w:tcW w:w="3600" w:type="dxa"/>
            <w:tcBorders>
              <w:top w:val="single" w:sz="4" w:space="0" w:color="auto"/>
              <w:left w:val="single" w:sz="4" w:space="0" w:color="auto"/>
              <w:bottom w:val="single" w:sz="4" w:space="0" w:color="auto"/>
              <w:right w:val="single" w:sz="4" w:space="0" w:color="auto"/>
            </w:tcBorders>
            <w:shd w:val="clear" w:color="auto" w:fill="auto"/>
            <w:vAlign w:val="bottom"/>
          </w:tcPr>
          <w:p w14:paraId="5EECFA61" w14:textId="77777777" w:rsidR="00EE33A3" w:rsidRPr="007753CF" w:rsidRDefault="00EE33A3" w:rsidP="004046F0">
            <w:pPr>
              <w:rPr>
                <w:rFonts w:ascii="Arial" w:hAnsi="Arial" w:cs="Arial"/>
                <w:b/>
                <w:bCs/>
                <w:color w:val="000000"/>
                <w:szCs w:val="24"/>
                <w:lang w:eastAsia="en-AU"/>
              </w:rPr>
            </w:pP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444E4809" w14:textId="77777777" w:rsidR="00EE33A3" w:rsidRPr="007753CF" w:rsidRDefault="00EE33A3" w:rsidP="004046F0">
            <w:pPr>
              <w:rPr>
                <w:rFonts w:ascii="Arial" w:hAnsi="Arial" w:cs="Arial"/>
                <w:b/>
                <w:bCs/>
                <w:color w:val="000000"/>
                <w:szCs w:val="24"/>
                <w:lang w:eastAsia="en-AU"/>
              </w:rPr>
            </w:pPr>
            <w:r w:rsidRPr="007753CF">
              <w:rPr>
                <w:rFonts w:ascii="Arial" w:hAnsi="Arial" w:cs="Arial"/>
                <w:b/>
                <w:bCs/>
                <w:color w:val="000000"/>
                <w:szCs w:val="24"/>
                <w:lang w:eastAsia="en-AU"/>
              </w:rPr>
              <w:t xml:space="preserve">Payments made </w:t>
            </w:r>
          </w:p>
        </w:tc>
        <w:tc>
          <w:tcPr>
            <w:tcW w:w="1630" w:type="dxa"/>
            <w:tcBorders>
              <w:top w:val="single" w:sz="4" w:space="0" w:color="auto"/>
              <w:left w:val="nil"/>
              <w:bottom w:val="single" w:sz="4" w:space="0" w:color="auto"/>
              <w:right w:val="single" w:sz="4" w:space="0" w:color="auto"/>
            </w:tcBorders>
            <w:shd w:val="clear" w:color="auto" w:fill="auto"/>
            <w:vAlign w:val="bottom"/>
            <w:hideMark/>
          </w:tcPr>
          <w:p w14:paraId="0A2E683A" w14:textId="77777777" w:rsidR="00EE33A3" w:rsidRPr="007753CF" w:rsidRDefault="00EE33A3" w:rsidP="004046F0">
            <w:pPr>
              <w:rPr>
                <w:rFonts w:ascii="Arial" w:hAnsi="Arial" w:cs="Arial"/>
                <w:b/>
                <w:bCs/>
                <w:color w:val="000000"/>
                <w:szCs w:val="24"/>
                <w:lang w:eastAsia="en-AU"/>
              </w:rPr>
            </w:pPr>
            <w:r w:rsidRPr="007753CF">
              <w:rPr>
                <w:rFonts w:ascii="Arial" w:hAnsi="Arial" w:cs="Arial"/>
                <w:b/>
                <w:bCs/>
                <w:color w:val="000000"/>
                <w:szCs w:val="24"/>
                <w:lang w:eastAsia="en-AU"/>
              </w:rPr>
              <w:t>Estimated future  payments</w:t>
            </w:r>
          </w:p>
        </w:tc>
      </w:tr>
      <w:tr w:rsidR="00EE33A3" w:rsidRPr="007753CF" w14:paraId="5C217A6C" w14:textId="77777777" w:rsidTr="004046F0">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58424B9"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szCs w:val="24"/>
                <w:lang w:eastAsia="en-AU"/>
              </w:rPr>
              <w:t>Care</w:t>
            </w:r>
          </w:p>
        </w:tc>
        <w:tc>
          <w:tcPr>
            <w:tcW w:w="1660" w:type="dxa"/>
            <w:tcBorders>
              <w:top w:val="nil"/>
              <w:left w:val="nil"/>
              <w:bottom w:val="single" w:sz="4" w:space="0" w:color="auto"/>
              <w:right w:val="single" w:sz="4" w:space="0" w:color="auto"/>
            </w:tcBorders>
            <w:shd w:val="clear" w:color="auto" w:fill="auto"/>
            <w:noWrap/>
            <w:vAlign w:val="bottom"/>
            <w:hideMark/>
          </w:tcPr>
          <w:p w14:paraId="6981B6A1"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$70.4m</w:t>
            </w:r>
          </w:p>
        </w:tc>
        <w:tc>
          <w:tcPr>
            <w:tcW w:w="1630" w:type="dxa"/>
            <w:tcBorders>
              <w:top w:val="nil"/>
              <w:left w:val="nil"/>
              <w:bottom w:val="single" w:sz="4" w:space="0" w:color="auto"/>
              <w:right w:val="single" w:sz="4" w:space="0" w:color="auto"/>
            </w:tcBorders>
            <w:shd w:val="clear" w:color="auto" w:fill="auto"/>
            <w:noWrap/>
            <w:vAlign w:val="bottom"/>
            <w:hideMark/>
          </w:tcPr>
          <w:p w14:paraId="30482E35"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$1.1b</w:t>
            </w:r>
          </w:p>
        </w:tc>
      </w:tr>
      <w:tr w:rsidR="00EE33A3" w:rsidRPr="007753CF" w14:paraId="73B47B73" w14:textId="77777777" w:rsidTr="004046F0">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B6272E7"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szCs w:val="24"/>
                <w:lang w:eastAsia="en-AU"/>
              </w:rPr>
              <w:t>Economic loss</w:t>
            </w:r>
          </w:p>
        </w:tc>
        <w:tc>
          <w:tcPr>
            <w:tcW w:w="1660" w:type="dxa"/>
            <w:tcBorders>
              <w:top w:val="nil"/>
              <w:left w:val="nil"/>
              <w:bottom w:val="single" w:sz="4" w:space="0" w:color="auto"/>
              <w:right w:val="single" w:sz="4" w:space="0" w:color="auto"/>
            </w:tcBorders>
            <w:shd w:val="clear" w:color="auto" w:fill="auto"/>
            <w:noWrap/>
            <w:vAlign w:val="bottom"/>
            <w:hideMark/>
          </w:tcPr>
          <w:p w14:paraId="5ADED072"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$98.6m</w:t>
            </w:r>
          </w:p>
        </w:tc>
        <w:tc>
          <w:tcPr>
            <w:tcW w:w="1630" w:type="dxa"/>
            <w:tcBorders>
              <w:top w:val="nil"/>
              <w:left w:val="nil"/>
              <w:bottom w:val="single" w:sz="4" w:space="0" w:color="auto"/>
              <w:right w:val="single" w:sz="4" w:space="0" w:color="auto"/>
            </w:tcBorders>
            <w:shd w:val="clear" w:color="auto" w:fill="auto"/>
            <w:noWrap/>
            <w:vAlign w:val="bottom"/>
            <w:hideMark/>
          </w:tcPr>
          <w:p w14:paraId="30EF9F06"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$388.7m</w:t>
            </w:r>
          </w:p>
        </w:tc>
      </w:tr>
      <w:tr w:rsidR="00EE33A3" w:rsidRPr="007753CF" w14:paraId="635E9A45" w14:textId="77777777" w:rsidTr="004046F0">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DF0D58C"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szCs w:val="24"/>
                <w:lang w:eastAsia="en-AU"/>
              </w:rPr>
              <w:t>Pain and suffering</w:t>
            </w:r>
          </w:p>
        </w:tc>
        <w:tc>
          <w:tcPr>
            <w:tcW w:w="1660" w:type="dxa"/>
            <w:tcBorders>
              <w:top w:val="nil"/>
              <w:left w:val="nil"/>
              <w:bottom w:val="single" w:sz="4" w:space="0" w:color="auto"/>
              <w:right w:val="single" w:sz="4" w:space="0" w:color="auto"/>
            </w:tcBorders>
            <w:shd w:val="clear" w:color="auto" w:fill="auto"/>
            <w:noWrap/>
            <w:vAlign w:val="bottom"/>
            <w:hideMark/>
          </w:tcPr>
          <w:p w14:paraId="4B3D55EB"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$67.7m</w:t>
            </w:r>
          </w:p>
        </w:tc>
        <w:tc>
          <w:tcPr>
            <w:tcW w:w="1630" w:type="dxa"/>
            <w:tcBorders>
              <w:top w:val="nil"/>
              <w:left w:val="nil"/>
              <w:bottom w:val="single" w:sz="4" w:space="0" w:color="auto"/>
              <w:right w:val="single" w:sz="4" w:space="0" w:color="auto"/>
            </w:tcBorders>
            <w:shd w:val="clear" w:color="auto" w:fill="auto"/>
            <w:noWrap/>
            <w:vAlign w:val="bottom"/>
            <w:hideMark/>
          </w:tcPr>
          <w:p w14:paraId="0B15EE2B"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$266.6m</w:t>
            </w:r>
          </w:p>
        </w:tc>
      </w:tr>
      <w:tr w:rsidR="00EE33A3" w:rsidRPr="007753CF" w14:paraId="4FAEBC0C" w14:textId="77777777" w:rsidTr="004046F0">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F51412D"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szCs w:val="24"/>
                <w:lang w:eastAsia="en-AU"/>
              </w:rPr>
              <w:t>Hospital</w:t>
            </w:r>
          </w:p>
        </w:tc>
        <w:tc>
          <w:tcPr>
            <w:tcW w:w="1660" w:type="dxa"/>
            <w:tcBorders>
              <w:top w:val="nil"/>
              <w:left w:val="nil"/>
              <w:bottom w:val="single" w:sz="4" w:space="0" w:color="auto"/>
              <w:right w:val="single" w:sz="4" w:space="0" w:color="auto"/>
            </w:tcBorders>
            <w:shd w:val="clear" w:color="auto" w:fill="auto"/>
            <w:noWrap/>
            <w:vAlign w:val="bottom"/>
            <w:hideMark/>
          </w:tcPr>
          <w:p w14:paraId="2B3E3BB5"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$40m</w:t>
            </w:r>
          </w:p>
        </w:tc>
        <w:tc>
          <w:tcPr>
            <w:tcW w:w="1630" w:type="dxa"/>
            <w:tcBorders>
              <w:top w:val="nil"/>
              <w:left w:val="nil"/>
              <w:bottom w:val="single" w:sz="4" w:space="0" w:color="auto"/>
              <w:right w:val="single" w:sz="4" w:space="0" w:color="auto"/>
            </w:tcBorders>
            <w:shd w:val="clear" w:color="auto" w:fill="auto"/>
            <w:noWrap/>
            <w:vAlign w:val="bottom"/>
            <w:hideMark/>
          </w:tcPr>
          <w:p w14:paraId="0D8558DD"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$41.1m</w:t>
            </w:r>
          </w:p>
        </w:tc>
      </w:tr>
      <w:tr w:rsidR="00EE33A3" w:rsidRPr="007753CF" w14:paraId="26204730" w14:textId="77777777" w:rsidTr="004046F0">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D71072D"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szCs w:val="24"/>
                <w:lang w:eastAsia="en-AU"/>
              </w:rPr>
              <w:t>Medical and equipment</w:t>
            </w:r>
          </w:p>
        </w:tc>
        <w:tc>
          <w:tcPr>
            <w:tcW w:w="1660" w:type="dxa"/>
            <w:tcBorders>
              <w:top w:val="nil"/>
              <w:left w:val="nil"/>
              <w:bottom w:val="single" w:sz="4" w:space="0" w:color="auto"/>
              <w:right w:val="single" w:sz="4" w:space="0" w:color="auto"/>
            </w:tcBorders>
            <w:shd w:val="clear" w:color="auto" w:fill="auto"/>
            <w:noWrap/>
            <w:vAlign w:val="bottom"/>
            <w:hideMark/>
          </w:tcPr>
          <w:p w14:paraId="742D3BFC"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$40.3m</w:t>
            </w:r>
          </w:p>
        </w:tc>
        <w:tc>
          <w:tcPr>
            <w:tcW w:w="1630" w:type="dxa"/>
            <w:tcBorders>
              <w:top w:val="nil"/>
              <w:left w:val="nil"/>
              <w:bottom w:val="single" w:sz="4" w:space="0" w:color="auto"/>
              <w:right w:val="single" w:sz="4" w:space="0" w:color="auto"/>
            </w:tcBorders>
            <w:shd w:val="clear" w:color="auto" w:fill="auto"/>
            <w:noWrap/>
            <w:vAlign w:val="bottom"/>
            <w:hideMark/>
          </w:tcPr>
          <w:p w14:paraId="06632F75"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$218.1m</w:t>
            </w:r>
          </w:p>
        </w:tc>
      </w:tr>
      <w:tr w:rsidR="00EE33A3" w:rsidRPr="007753CF" w14:paraId="7404483D" w14:textId="77777777" w:rsidTr="004046F0">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F57D24E"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szCs w:val="24"/>
                <w:lang w:eastAsia="en-AU"/>
              </w:rPr>
              <w:t>Other</w:t>
            </w:r>
          </w:p>
        </w:tc>
        <w:tc>
          <w:tcPr>
            <w:tcW w:w="1660" w:type="dxa"/>
            <w:tcBorders>
              <w:top w:val="nil"/>
              <w:left w:val="nil"/>
              <w:bottom w:val="single" w:sz="4" w:space="0" w:color="auto"/>
              <w:right w:val="single" w:sz="4" w:space="0" w:color="auto"/>
            </w:tcBorders>
            <w:shd w:val="clear" w:color="auto" w:fill="auto"/>
            <w:noWrap/>
            <w:vAlign w:val="bottom"/>
            <w:hideMark/>
          </w:tcPr>
          <w:p w14:paraId="272BDA52"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$74.5m</w:t>
            </w:r>
          </w:p>
        </w:tc>
        <w:tc>
          <w:tcPr>
            <w:tcW w:w="1630" w:type="dxa"/>
            <w:tcBorders>
              <w:top w:val="nil"/>
              <w:left w:val="nil"/>
              <w:bottom w:val="single" w:sz="4" w:space="0" w:color="auto"/>
              <w:right w:val="single" w:sz="4" w:space="0" w:color="auto"/>
            </w:tcBorders>
            <w:shd w:val="clear" w:color="auto" w:fill="auto"/>
            <w:noWrap/>
            <w:vAlign w:val="bottom"/>
            <w:hideMark/>
          </w:tcPr>
          <w:p w14:paraId="5863496A" w14:textId="77777777" w:rsidR="00EE33A3" w:rsidRPr="007753CF" w:rsidRDefault="00EE33A3" w:rsidP="004046F0">
            <w:pPr>
              <w:rPr>
                <w:rFonts w:ascii="Arial" w:hAnsi="Arial" w:cs="Arial"/>
                <w:color w:val="000000"/>
                <w:szCs w:val="24"/>
                <w:lang w:eastAsia="en-AU"/>
              </w:rPr>
            </w:pPr>
            <w:r w:rsidRPr="007753CF">
              <w:rPr>
                <w:rFonts w:ascii="Arial" w:hAnsi="Arial" w:cs="Arial"/>
                <w:color w:val="000000"/>
              </w:rPr>
              <w:t>$435.7</w:t>
            </w:r>
          </w:p>
        </w:tc>
      </w:tr>
      <w:tr w:rsidR="00EE33A3" w:rsidRPr="00BB3520" w14:paraId="7C12B115" w14:textId="77777777" w:rsidTr="004046F0">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354391B" w14:textId="77777777" w:rsidR="00EE33A3" w:rsidRPr="007753CF" w:rsidRDefault="00EE33A3" w:rsidP="004046F0">
            <w:pPr>
              <w:rPr>
                <w:rFonts w:ascii="Arial" w:hAnsi="Arial" w:cs="Arial"/>
                <w:b/>
                <w:bCs/>
                <w:color w:val="000000"/>
                <w:szCs w:val="24"/>
                <w:lang w:eastAsia="en-AU"/>
              </w:rPr>
            </w:pPr>
            <w:r w:rsidRPr="007753CF">
              <w:rPr>
                <w:rFonts w:ascii="Arial" w:hAnsi="Arial" w:cs="Arial"/>
                <w:b/>
                <w:bCs/>
                <w:color w:val="000000"/>
                <w:szCs w:val="24"/>
                <w:lang w:eastAsia="en-AU"/>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311F9ED8" w14:textId="77777777" w:rsidR="00EE33A3" w:rsidRPr="007753CF" w:rsidRDefault="00EE33A3" w:rsidP="004046F0">
            <w:pPr>
              <w:rPr>
                <w:rFonts w:ascii="Arial" w:hAnsi="Arial" w:cs="Arial"/>
                <w:b/>
                <w:bCs/>
                <w:color w:val="000000"/>
                <w:szCs w:val="24"/>
                <w:lang w:eastAsia="en-AU"/>
              </w:rPr>
            </w:pPr>
            <w:r w:rsidRPr="007753CF">
              <w:rPr>
                <w:rFonts w:ascii="Arial" w:hAnsi="Arial" w:cs="Arial"/>
                <w:b/>
                <w:bCs/>
                <w:color w:val="000000"/>
              </w:rPr>
              <w:t>$391.5m</w:t>
            </w:r>
          </w:p>
        </w:tc>
        <w:tc>
          <w:tcPr>
            <w:tcW w:w="1630" w:type="dxa"/>
            <w:tcBorders>
              <w:top w:val="nil"/>
              <w:left w:val="nil"/>
              <w:bottom w:val="single" w:sz="4" w:space="0" w:color="auto"/>
              <w:right w:val="single" w:sz="4" w:space="0" w:color="auto"/>
            </w:tcBorders>
            <w:shd w:val="clear" w:color="auto" w:fill="auto"/>
            <w:noWrap/>
            <w:vAlign w:val="bottom"/>
            <w:hideMark/>
          </w:tcPr>
          <w:p w14:paraId="251D9CBC" w14:textId="77777777" w:rsidR="00EE33A3" w:rsidRPr="007753CF" w:rsidRDefault="00EE33A3" w:rsidP="004046F0">
            <w:pPr>
              <w:rPr>
                <w:rFonts w:ascii="Arial" w:hAnsi="Arial" w:cs="Arial"/>
                <w:b/>
                <w:bCs/>
                <w:color w:val="000000"/>
                <w:szCs w:val="24"/>
                <w:lang w:eastAsia="en-AU"/>
              </w:rPr>
            </w:pPr>
            <w:r w:rsidRPr="007753CF">
              <w:rPr>
                <w:rFonts w:ascii="Arial" w:hAnsi="Arial" w:cs="Arial"/>
                <w:b/>
                <w:bCs/>
                <w:color w:val="000000"/>
              </w:rPr>
              <w:t>$2.4b</w:t>
            </w:r>
          </w:p>
        </w:tc>
      </w:tr>
    </w:tbl>
    <w:p w14:paraId="74207C32" w14:textId="77777777" w:rsidR="00EE33A3" w:rsidRDefault="00EE33A3" w:rsidP="00EE33A3">
      <w:pPr>
        <w:pStyle w:val="NoParagraphStyle"/>
        <w:suppressAutoHyphens/>
        <w:spacing w:line="240" w:lineRule="auto"/>
        <w:jc w:val="both"/>
        <w:rPr>
          <w:rFonts w:ascii="Arial" w:hAnsi="Arial" w:cs="Arial"/>
        </w:rPr>
      </w:pPr>
    </w:p>
    <w:p w14:paraId="1D4976E3" w14:textId="77777777" w:rsidR="00EE33A3" w:rsidRDefault="00EE33A3" w:rsidP="00EE33A3">
      <w:pPr>
        <w:pStyle w:val="NoParagraphStyle"/>
        <w:suppressAutoHyphens/>
        <w:spacing w:line="240" w:lineRule="auto"/>
        <w:jc w:val="both"/>
        <w:rPr>
          <w:rFonts w:ascii="Arial" w:hAnsi="Arial" w:cs="Arial"/>
        </w:rPr>
      </w:pPr>
      <w:r w:rsidRPr="000E5DEB">
        <w:rPr>
          <w:rFonts w:ascii="Arial" w:hAnsi="Arial" w:cs="Arial"/>
        </w:rPr>
        <w:t xml:space="preserve">Claims costs are directly related to </w:t>
      </w:r>
      <w:r>
        <w:rPr>
          <w:rFonts w:ascii="Arial" w:hAnsi="Arial" w:cs="Arial"/>
        </w:rPr>
        <w:t xml:space="preserve">the severity of the injuries sustained in a crash and the role of the injured person in the crash. </w:t>
      </w:r>
      <w:r w:rsidRPr="000E5DEB">
        <w:rPr>
          <w:rFonts w:ascii="Arial" w:hAnsi="Arial" w:cs="Arial"/>
        </w:rPr>
        <w:t>This is highlighted in the graphic below that shows vulnerable people (motorcyclists, pillion passengers</w:t>
      </w:r>
      <w:r>
        <w:rPr>
          <w:rFonts w:ascii="Arial" w:hAnsi="Arial" w:cs="Arial"/>
        </w:rPr>
        <w:t>,</w:t>
      </w:r>
      <w:r w:rsidRPr="000E5DEB">
        <w:rPr>
          <w:rFonts w:ascii="Arial" w:hAnsi="Arial" w:cs="Arial"/>
        </w:rPr>
        <w:t xml:space="preserve"> </w:t>
      </w:r>
      <w:r>
        <w:rPr>
          <w:rFonts w:ascii="Arial" w:hAnsi="Arial" w:cs="Arial"/>
        </w:rPr>
        <w:t>pedestrians and cyclists</w:t>
      </w:r>
      <w:r w:rsidRPr="000E5DEB">
        <w:rPr>
          <w:rFonts w:ascii="Arial" w:hAnsi="Arial" w:cs="Arial"/>
        </w:rPr>
        <w:t>) represented 4</w:t>
      </w:r>
      <w:r>
        <w:rPr>
          <w:rFonts w:ascii="Arial" w:hAnsi="Arial" w:cs="Arial"/>
        </w:rPr>
        <w:t>0</w:t>
      </w:r>
      <w:r w:rsidRPr="000E5DEB">
        <w:rPr>
          <w:rFonts w:ascii="Arial" w:hAnsi="Arial" w:cs="Arial"/>
        </w:rPr>
        <w:t>% of total claims payments in 201</w:t>
      </w:r>
      <w:r>
        <w:rPr>
          <w:rFonts w:ascii="Arial" w:hAnsi="Arial" w:cs="Arial"/>
        </w:rPr>
        <w:t>8</w:t>
      </w:r>
      <w:r w:rsidRPr="000E5DEB">
        <w:rPr>
          <w:rFonts w:ascii="Arial" w:hAnsi="Arial" w:cs="Arial"/>
        </w:rPr>
        <w:t xml:space="preserve"> despite only representing 17.</w:t>
      </w:r>
      <w:r>
        <w:rPr>
          <w:rFonts w:ascii="Arial" w:hAnsi="Arial" w:cs="Arial"/>
        </w:rPr>
        <w:t>8</w:t>
      </w:r>
      <w:r w:rsidRPr="000E5DEB">
        <w:rPr>
          <w:rFonts w:ascii="Arial" w:hAnsi="Arial" w:cs="Arial"/>
        </w:rPr>
        <w:t>% of total claims.</w:t>
      </w:r>
      <w:r>
        <w:rPr>
          <w:rFonts w:ascii="Arial" w:hAnsi="Arial" w:cs="Arial"/>
        </w:rPr>
        <w:t xml:space="preserve"> The other 60% of claims payments were made to drivers and passengers injured in a crash. As drivers and passengers have seatbelts and are protected by the car body in the crash, it is understandable that their injuries are often not as severe as those sustained by vulnerable road users. </w:t>
      </w:r>
    </w:p>
    <w:p w14:paraId="2662AB86" w14:textId="77777777" w:rsidR="00EE33A3" w:rsidRDefault="00EE33A3" w:rsidP="00EE33A3">
      <w:pPr>
        <w:pStyle w:val="NoParagraphStyle"/>
        <w:suppressAutoHyphens/>
        <w:spacing w:line="240" w:lineRule="auto"/>
        <w:jc w:val="both"/>
        <w:rPr>
          <w:rFonts w:ascii="Arial" w:hAnsi="Arial" w:cs="Arial"/>
        </w:rPr>
      </w:pPr>
    </w:p>
    <w:p w14:paraId="325AEAFA" w14:textId="6408EE9F" w:rsidR="00EE33A3" w:rsidRPr="00B61EC3" w:rsidRDefault="00EE33A3" w:rsidP="00EE33A3">
      <w:pPr>
        <w:pStyle w:val="NoParagraphStyle"/>
        <w:suppressAutoHyphens/>
        <w:spacing w:line="240" w:lineRule="auto"/>
        <w:jc w:val="both"/>
        <w:rPr>
          <w:rFonts w:ascii="Arial" w:hAnsi="Arial" w:cs="Arial"/>
          <w:i/>
        </w:rPr>
      </w:pPr>
      <w:r w:rsidRPr="00B61EC3">
        <w:rPr>
          <w:rFonts w:ascii="Arial" w:hAnsi="Arial" w:cs="Arial"/>
          <w:i/>
        </w:rPr>
        <w:t xml:space="preserve">Infographic – Vulnerable </w:t>
      </w:r>
      <w:r w:rsidR="007753CF" w:rsidRPr="00B61EC3">
        <w:rPr>
          <w:rFonts w:ascii="Arial" w:hAnsi="Arial" w:cs="Arial"/>
          <w:i/>
        </w:rPr>
        <w:t>Road U</w:t>
      </w:r>
      <w:r w:rsidRPr="00B61EC3">
        <w:rPr>
          <w:rFonts w:ascii="Arial" w:hAnsi="Arial" w:cs="Arial"/>
          <w:i/>
        </w:rPr>
        <w:t>sers</w:t>
      </w:r>
      <w:r w:rsidR="007753CF" w:rsidRPr="00B61EC3">
        <w:rPr>
          <w:rFonts w:ascii="Arial" w:hAnsi="Arial" w:cs="Arial"/>
          <w:i/>
        </w:rPr>
        <w:t xml:space="preserve"> Claims Cost (including O</w:t>
      </w:r>
      <w:r w:rsidRPr="00B61EC3">
        <w:rPr>
          <w:rFonts w:ascii="Arial" w:hAnsi="Arial" w:cs="Arial"/>
          <w:i/>
        </w:rPr>
        <w:t>utsta</w:t>
      </w:r>
      <w:r w:rsidR="007753CF" w:rsidRPr="00B61EC3">
        <w:rPr>
          <w:rFonts w:ascii="Arial" w:hAnsi="Arial" w:cs="Arial"/>
          <w:i/>
        </w:rPr>
        <w:t>nding E</w:t>
      </w:r>
      <w:r w:rsidRPr="00B61EC3">
        <w:rPr>
          <w:rFonts w:ascii="Arial" w:hAnsi="Arial" w:cs="Arial"/>
          <w:i/>
        </w:rPr>
        <w:t>stimates)</w:t>
      </w:r>
    </w:p>
    <w:p w14:paraId="64F5549B" w14:textId="77777777" w:rsidR="00EE33A3" w:rsidRPr="00B61EC3" w:rsidRDefault="00EE33A3" w:rsidP="00EE33A3">
      <w:pPr>
        <w:pStyle w:val="NoParagraphStyle"/>
        <w:suppressAutoHyphens/>
        <w:spacing w:line="240" w:lineRule="auto"/>
        <w:jc w:val="both"/>
        <w:rPr>
          <w:rFonts w:ascii="Arial" w:hAnsi="Arial" w:cs="Arial"/>
        </w:rPr>
      </w:pPr>
    </w:p>
    <w:p w14:paraId="32BBABB4" w14:textId="77777777" w:rsidR="00EE33A3" w:rsidRPr="00B61EC3" w:rsidRDefault="00EE33A3" w:rsidP="00EE33A3">
      <w:pPr>
        <w:pStyle w:val="NoParagraphStyle"/>
        <w:suppressAutoHyphens/>
        <w:spacing w:line="240" w:lineRule="auto"/>
        <w:jc w:val="both"/>
        <w:rPr>
          <w:rFonts w:ascii="Arial" w:hAnsi="Arial" w:cs="Arial"/>
        </w:rPr>
      </w:pPr>
      <w:r w:rsidRPr="00B61EC3">
        <w:rPr>
          <w:rFonts w:ascii="Arial" w:hAnsi="Arial" w:cs="Arial"/>
        </w:rPr>
        <w:t>Pedestrian - $128.1m</w:t>
      </w:r>
    </w:p>
    <w:p w14:paraId="5A97062C" w14:textId="4FCF4A0A" w:rsidR="00EE33A3" w:rsidRPr="00B61EC3" w:rsidRDefault="00EE33A3" w:rsidP="00EE33A3">
      <w:pPr>
        <w:pStyle w:val="NoParagraphStyle"/>
        <w:suppressAutoHyphens/>
        <w:spacing w:line="240" w:lineRule="auto"/>
        <w:jc w:val="both"/>
        <w:rPr>
          <w:rFonts w:ascii="Arial" w:hAnsi="Arial" w:cs="Arial"/>
        </w:rPr>
      </w:pPr>
      <w:r w:rsidRPr="00B61EC3">
        <w:rPr>
          <w:rFonts w:ascii="Arial" w:hAnsi="Arial" w:cs="Arial"/>
        </w:rPr>
        <w:t>Motorcyclist - $99.1m</w:t>
      </w:r>
    </w:p>
    <w:p w14:paraId="6ED4A943" w14:textId="77777777" w:rsidR="00EE33A3" w:rsidRPr="00B61EC3" w:rsidRDefault="00EE33A3" w:rsidP="00EE33A3">
      <w:pPr>
        <w:pStyle w:val="NoParagraphStyle"/>
        <w:suppressAutoHyphens/>
        <w:spacing w:line="240" w:lineRule="auto"/>
        <w:jc w:val="both"/>
        <w:rPr>
          <w:rFonts w:ascii="Arial" w:hAnsi="Arial" w:cs="Arial"/>
        </w:rPr>
      </w:pPr>
      <w:r w:rsidRPr="00B61EC3">
        <w:rPr>
          <w:rFonts w:ascii="Arial" w:hAnsi="Arial" w:cs="Arial"/>
        </w:rPr>
        <w:t>Cyclist - $58.5m</w:t>
      </w:r>
    </w:p>
    <w:p w14:paraId="6F6E6307" w14:textId="7CAEA2F1" w:rsidR="00EE33A3" w:rsidRPr="00B61EC3" w:rsidRDefault="00EE33A3" w:rsidP="00EE33A3">
      <w:pPr>
        <w:pStyle w:val="NoParagraphStyle"/>
        <w:suppressAutoHyphens/>
        <w:spacing w:line="240" w:lineRule="auto"/>
        <w:jc w:val="both"/>
        <w:rPr>
          <w:rFonts w:ascii="Arial" w:hAnsi="Arial" w:cs="Arial"/>
        </w:rPr>
      </w:pPr>
      <w:r w:rsidRPr="00B61EC3">
        <w:rPr>
          <w:rFonts w:ascii="Arial" w:hAnsi="Arial" w:cs="Arial"/>
        </w:rPr>
        <w:t>Pillion Passenger - $</w:t>
      </w:r>
      <w:r w:rsidR="00B61EC3" w:rsidRPr="00B61EC3">
        <w:rPr>
          <w:rFonts w:ascii="Arial" w:hAnsi="Arial" w:cs="Arial"/>
        </w:rPr>
        <w:t>10.6</w:t>
      </w:r>
      <w:r w:rsidRPr="00B61EC3">
        <w:rPr>
          <w:rFonts w:ascii="Arial" w:hAnsi="Arial" w:cs="Arial"/>
        </w:rPr>
        <w:t>m</w:t>
      </w:r>
    </w:p>
    <w:p w14:paraId="78D9EEC3" w14:textId="77777777" w:rsidR="00EE33A3" w:rsidRPr="00B61EC3" w:rsidRDefault="00EE33A3" w:rsidP="00EE33A3">
      <w:pPr>
        <w:pStyle w:val="NoParagraphStyle"/>
        <w:suppressAutoHyphens/>
        <w:spacing w:line="240" w:lineRule="auto"/>
        <w:jc w:val="both"/>
        <w:rPr>
          <w:rFonts w:ascii="Arial" w:hAnsi="Arial" w:cs="Arial"/>
        </w:rPr>
      </w:pPr>
    </w:p>
    <w:p w14:paraId="5BA9AC58" w14:textId="77777777" w:rsidR="00EE33A3" w:rsidRPr="00B61EC3" w:rsidRDefault="00EE33A3" w:rsidP="00EE33A3">
      <w:pPr>
        <w:pStyle w:val="NoParagraphStyle"/>
        <w:suppressAutoHyphens/>
        <w:spacing w:line="240" w:lineRule="auto"/>
        <w:jc w:val="both"/>
        <w:rPr>
          <w:rFonts w:ascii="Arial" w:hAnsi="Arial" w:cs="Arial"/>
        </w:rPr>
      </w:pPr>
      <w:r w:rsidRPr="00B61EC3">
        <w:rPr>
          <w:rFonts w:ascii="Arial" w:hAnsi="Arial" w:cs="Arial"/>
        </w:rPr>
        <w:t>$157.6m was paid to vulnerable road users in 2018</w:t>
      </w:r>
    </w:p>
    <w:p w14:paraId="17458F67" w14:textId="77777777" w:rsidR="00EE33A3" w:rsidRPr="00B61EC3" w:rsidRDefault="00EE33A3" w:rsidP="00EE33A3">
      <w:pPr>
        <w:pStyle w:val="NoParagraphStyle"/>
        <w:suppressAutoHyphens/>
        <w:spacing w:line="240" w:lineRule="auto"/>
        <w:jc w:val="both"/>
        <w:rPr>
          <w:rFonts w:ascii="Arial" w:hAnsi="Arial" w:cs="Arial"/>
        </w:rPr>
      </w:pPr>
      <w:r w:rsidRPr="00B61EC3">
        <w:rPr>
          <w:rFonts w:ascii="Arial" w:hAnsi="Arial" w:cs="Arial"/>
        </w:rPr>
        <w:t xml:space="preserve">Vulnerable road users represented 40% of total claims payments for 2018, but only 17.8% of total claims received. </w:t>
      </w:r>
    </w:p>
    <w:p w14:paraId="629B1751" w14:textId="77777777" w:rsidR="00EE33A3" w:rsidRPr="00B61EC3" w:rsidRDefault="00EE33A3" w:rsidP="00EE33A3">
      <w:pPr>
        <w:pStyle w:val="NoParagraphStyle"/>
        <w:suppressAutoHyphens/>
        <w:spacing w:line="240" w:lineRule="auto"/>
        <w:jc w:val="both"/>
        <w:rPr>
          <w:rFonts w:ascii="Arial" w:hAnsi="Arial" w:cs="Arial"/>
        </w:rPr>
      </w:pPr>
    </w:p>
    <w:p w14:paraId="72DA6167" w14:textId="77777777" w:rsidR="00EE33A3" w:rsidRPr="00B61EC3" w:rsidRDefault="00EE33A3" w:rsidP="00EE33A3">
      <w:pPr>
        <w:pStyle w:val="NoParagraphStyle"/>
        <w:suppressAutoHyphens/>
        <w:spacing w:line="240" w:lineRule="auto"/>
        <w:jc w:val="both"/>
        <w:rPr>
          <w:rFonts w:ascii="Arial" w:hAnsi="Arial" w:cs="Arial"/>
        </w:rPr>
      </w:pPr>
      <w:r w:rsidRPr="00B61EC3">
        <w:rPr>
          <w:rFonts w:ascii="Arial" w:hAnsi="Arial" w:cs="Arial"/>
        </w:rPr>
        <w:t>282 hit and run claims were received in 2018</w:t>
      </w:r>
    </w:p>
    <w:p w14:paraId="3ED7AA99" w14:textId="77777777" w:rsidR="00EE33A3" w:rsidRPr="00B61EC3" w:rsidRDefault="00EE33A3" w:rsidP="00EE33A3">
      <w:pPr>
        <w:pStyle w:val="NoParagraphStyle"/>
        <w:suppressAutoHyphens/>
        <w:spacing w:line="240" w:lineRule="auto"/>
        <w:jc w:val="both"/>
        <w:rPr>
          <w:rFonts w:ascii="Arial" w:hAnsi="Arial" w:cs="Arial"/>
        </w:rPr>
      </w:pPr>
      <w:r w:rsidRPr="00B61EC3">
        <w:rPr>
          <w:rFonts w:ascii="Arial" w:hAnsi="Arial" w:cs="Arial"/>
        </w:rPr>
        <w:t>$1.6m was paid against these claims</w:t>
      </w:r>
    </w:p>
    <w:p w14:paraId="72B884EC" w14:textId="77777777" w:rsidR="00EE33A3" w:rsidRPr="00B61EC3" w:rsidRDefault="00EE33A3" w:rsidP="00EE33A3">
      <w:pPr>
        <w:pStyle w:val="NoParagraphStyle"/>
        <w:suppressAutoHyphens/>
        <w:spacing w:line="240" w:lineRule="auto"/>
        <w:jc w:val="both"/>
        <w:rPr>
          <w:rFonts w:ascii="Arial" w:hAnsi="Arial" w:cs="Arial"/>
        </w:rPr>
      </w:pPr>
      <w:r w:rsidRPr="00B61EC3">
        <w:rPr>
          <w:rFonts w:ascii="Arial" w:hAnsi="Arial" w:cs="Arial"/>
        </w:rPr>
        <w:t>$13.8m outstanding to be paid</w:t>
      </w:r>
    </w:p>
    <w:p w14:paraId="2BD04DAB" w14:textId="77777777" w:rsidR="00EE33A3" w:rsidRDefault="00EE33A3" w:rsidP="00EE33A3">
      <w:pPr>
        <w:pStyle w:val="NoParagraphStyle"/>
        <w:suppressAutoHyphens/>
        <w:spacing w:line="240" w:lineRule="auto"/>
        <w:jc w:val="both"/>
        <w:rPr>
          <w:rFonts w:ascii="Arial" w:hAnsi="Arial" w:cs="Arial"/>
        </w:rPr>
      </w:pPr>
    </w:p>
    <w:p w14:paraId="71405D61"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t xml:space="preserve">The most common motor injury insurance claim received is a minor injury claim. These represent 73% of new claims received but represent less than 6% of the cost paid by the Insurance Commission as the injuries are often minor and people can recover quickly after treatment. CTP compensation claims represent 27% of new claims received and represent 92% of the cost. CIS scheme claims make up the remainder of claims received and paid in a year. </w:t>
      </w:r>
    </w:p>
    <w:p w14:paraId="4D4B3E49" w14:textId="77777777" w:rsidR="00EE33A3" w:rsidRDefault="00EE33A3" w:rsidP="00EE33A3">
      <w:pPr>
        <w:pStyle w:val="NoParagraphStyle"/>
        <w:suppressAutoHyphens/>
        <w:spacing w:line="240" w:lineRule="auto"/>
        <w:jc w:val="both"/>
        <w:rPr>
          <w:rFonts w:ascii="Arial" w:hAnsi="Arial" w:cs="Arial"/>
        </w:rPr>
      </w:pPr>
    </w:p>
    <w:p w14:paraId="5AA14DA9" w14:textId="77777777" w:rsidR="00EE33A3" w:rsidRDefault="00EE33A3" w:rsidP="00EE33A3">
      <w:pPr>
        <w:pStyle w:val="NoParagraphStyle"/>
        <w:suppressAutoHyphens/>
        <w:spacing w:line="240" w:lineRule="auto"/>
        <w:jc w:val="both"/>
        <w:rPr>
          <w:rFonts w:ascii="Arial" w:hAnsi="Arial" w:cs="Arial"/>
        </w:rPr>
      </w:pPr>
      <w:r>
        <w:rPr>
          <w:rFonts w:ascii="Arial" w:hAnsi="Arial" w:cs="Arial"/>
        </w:rPr>
        <w:lastRenderedPageBreak/>
        <w:t xml:space="preserve">The table below highlight average claim costs within bands of claims finalised by the Insurance Commission during 2018. </w:t>
      </w:r>
      <w:r w:rsidRPr="00306A4B">
        <w:rPr>
          <w:rFonts w:ascii="Arial" w:hAnsi="Arial" w:cs="Arial"/>
        </w:rPr>
        <w:t>A finalised claim is a CTP compensation claim that the claimant and the Insurance Commission both agree can be closed as the claimant's injuries have stabilised and/or the amount of compensation payable is known.</w:t>
      </w:r>
      <w:r>
        <w:rPr>
          <w:rFonts w:ascii="Arial" w:hAnsi="Arial" w:cs="Arial"/>
        </w:rPr>
        <w:t xml:space="preserve"> The most common type of CTP compensation claim finalised in 2018 was a claim between $20,000 and $50,000. </w:t>
      </w:r>
    </w:p>
    <w:p w14:paraId="792D2FBF" w14:textId="77777777" w:rsidR="00EE33A3" w:rsidRDefault="00EE33A3" w:rsidP="00EE33A3">
      <w:pPr>
        <w:pStyle w:val="NoParagraphStyle"/>
        <w:suppressAutoHyphens/>
        <w:spacing w:line="240" w:lineRule="auto"/>
        <w:jc w:val="both"/>
        <w:rPr>
          <w:rFonts w:ascii="Arial" w:hAnsi="Arial" w:cs="Arial"/>
          <w:color w:val="auto"/>
          <w:lang w:val="en-AU"/>
        </w:rPr>
      </w:pPr>
    </w:p>
    <w:p w14:paraId="558DAD0B" w14:textId="77777777" w:rsidR="00EE33A3" w:rsidRPr="00B61EC3" w:rsidRDefault="00EE33A3" w:rsidP="00EE33A3">
      <w:pPr>
        <w:jc w:val="left"/>
        <w:rPr>
          <w:rFonts w:ascii="Arial" w:hAnsi="Arial" w:cs="Arial"/>
          <w:i/>
          <w:szCs w:val="24"/>
        </w:rPr>
      </w:pPr>
      <w:r w:rsidRPr="00B61EC3">
        <w:rPr>
          <w:rFonts w:ascii="Arial" w:hAnsi="Arial" w:cs="Arial"/>
          <w:i/>
          <w:szCs w:val="24"/>
        </w:rPr>
        <w:t>Table - Finalised 2018 Motor Injury Insurance Claims by Cost Band</w:t>
      </w:r>
    </w:p>
    <w:p w14:paraId="3734662C" w14:textId="77777777" w:rsidR="00EE33A3" w:rsidRPr="00B61EC3" w:rsidRDefault="00EE33A3" w:rsidP="00EE33A3">
      <w:pPr>
        <w:jc w:val="left"/>
        <w:rPr>
          <w:rFonts w:ascii="Arial" w:hAnsi="Arial" w:cs="Arial"/>
          <w:i/>
          <w:szCs w:val="24"/>
        </w:rPr>
      </w:pPr>
    </w:p>
    <w:tbl>
      <w:tblPr>
        <w:tblStyle w:val="TableGrid"/>
        <w:tblW w:w="0" w:type="auto"/>
        <w:tblLook w:val="04A0" w:firstRow="1" w:lastRow="0" w:firstColumn="1" w:lastColumn="0" w:noHBand="0" w:noVBand="1"/>
      </w:tblPr>
      <w:tblGrid>
        <w:gridCol w:w="2760"/>
        <w:gridCol w:w="1920"/>
        <w:gridCol w:w="2365"/>
        <w:gridCol w:w="1971"/>
      </w:tblGrid>
      <w:tr w:rsidR="00EE33A3" w:rsidRPr="00B61EC3" w14:paraId="66E72A3A" w14:textId="77777777" w:rsidTr="004046F0">
        <w:trPr>
          <w:trHeight w:val="315"/>
        </w:trPr>
        <w:tc>
          <w:tcPr>
            <w:tcW w:w="2760" w:type="dxa"/>
            <w:noWrap/>
            <w:hideMark/>
          </w:tcPr>
          <w:p w14:paraId="70408464" w14:textId="77777777" w:rsidR="00EE33A3" w:rsidRPr="00B61EC3" w:rsidRDefault="00EE33A3" w:rsidP="004046F0">
            <w:pPr>
              <w:jc w:val="left"/>
              <w:rPr>
                <w:rFonts w:ascii="Arial" w:hAnsi="Arial" w:cs="Arial"/>
                <w:b/>
                <w:bCs/>
                <w:szCs w:val="24"/>
              </w:rPr>
            </w:pPr>
            <w:r w:rsidRPr="00B61EC3">
              <w:rPr>
                <w:rFonts w:ascii="Arial" w:hAnsi="Arial" w:cs="Arial"/>
                <w:b/>
                <w:bCs/>
                <w:szCs w:val="24"/>
              </w:rPr>
              <w:t>BAND</w:t>
            </w:r>
          </w:p>
        </w:tc>
        <w:tc>
          <w:tcPr>
            <w:tcW w:w="1920" w:type="dxa"/>
            <w:noWrap/>
            <w:hideMark/>
          </w:tcPr>
          <w:p w14:paraId="7623EB6F" w14:textId="77777777" w:rsidR="00EE33A3" w:rsidRPr="00B61EC3" w:rsidRDefault="00EE33A3" w:rsidP="004046F0">
            <w:pPr>
              <w:jc w:val="left"/>
              <w:rPr>
                <w:rFonts w:ascii="Arial" w:hAnsi="Arial" w:cs="Arial"/>
                <w:b/>
                <w:bCs/>
                <w:szCs w:val="24"/>
              </w:rPr>
            </w:pPr>
            <w:r w:rsidRPr="00B61EC3">
              <w:rPr>
                <w:rFonts w:ascii="Arial" w:hAnsi="Arial" w:cs="Arial"/>
                <w:b/>
                <w:bCs/>
                <w:szCs w:val="24"/>
              </w:rPr>
              <w:t>TOTAL CLAIMS</w:t>
            </w:r>
          </w:p>
        </w:tc>
        <w:tc>
          <w:tcPr>
            <w:tcW w:w="2365" w:type="dxa"/>
            <w:noWrap/>
            <w:hideMark/>
          </w:tcPr>
          <w:p w14:paraId="5B0BEBF2" w14:textId="77777777" w:rsidR="00EE33A3" w:rsidRPr="00B61EC3" w:rsidRDefault="00EE33A3" w:rsidP="004046F0">
            <w:pPr>
              <w:jc w:val="left"/>
              <w:rPr>
                <w:rFonts w:ascii="Arial" w:hAnsi="Arial" w:cs="Arial"/>
                <w:b/>
                <w:bCs/>
                <w:szCs w:val="24"/>
              </w:rPr>
            </w:pPr>
            <w:r w:rsidRPr="00B61EC3">
              <w:rPr>
                <w:rFonts w:ascii="Arial" w:hAnsi="Arial" w:cs="Arial"/>
                <w:b/>
                <w:bCs/>
                <w:szCs w:val="24"/>
              </w:rPr>
              <w:t>TOTAL PAYMENTS</w:t>
            </w:r>
          </w:p>
        </w:tc>
        <w:tc>
          <w:tcPr>
            <w:tcW w:w="2015" w:type="dxa"/>
            <w:vAlign w:val="bottom"/>
          </w:tcPr>
          <w:p w14:paraId="73678F08" w14:textId="77777777" w:rsidR="00EE33A3" w:rsidRPr="00B61EC3" w:rsidRDefault="00EE33A3" w:rsidP="004046F0">
            <w:pPr>
              <w:jc w:val="left"/>
              <w:rPr>
                <w:rFonts w:ascii="Arial" w:hAnsi="Arial" w:cs="Arial"/>
                <w:b/>
                <w:bCs/>
                <w:szCs w:val="24"/>
              </w:rPr>
            </w:pPr>
            <w:r w:rsidRPr="00B61EC3">
              <w:rPr>
                <w:rFonts w:ascii="Arial" w:hAnsi="Arial" w:cs="Arial"/>
                <w:b/>
                <w:bCs/>
                <w:color w:val="000000"/>
              </w:rPr>
              <w:t>AVERAGE COST OF CLAIMS</w:t>
            </w:r>
          </w:p>
        </w:tc>
      </w:tr>
      <w:tr w:rsidR="00EE33A3" w:rsidRPr="00B61EC3" w14:paraId="7F9BBB63" w14:textId="77777777" w:rsidTr="004046F0">
        <w:trPr>
          <w:trHeight w:val="300"/>
        </w:trPr>
        <w:tc>
          <w:tcPr>
            <w:tcW w:w="2760" w:type="dxa"/>
            <w:noWrap/>
            <w:hideMark/>
          </w:tcPr>
          <w:p w14:paraId="4D4BEAE1" w14:textId="77777777" w:rsidR="00EE33A3" w:rsidRPr="00B61EC3" w:rsidRDefault="00EE33A3" w:rsidP="004046F0">
            <w:pPr>
              <w:jc w:val="left"/>
              <w:rPr>
                <w:rFonts w:ascii="Arial" w:hAnsi="Arial" w:cs="Arial"/>
                <w:szCs w:val="24"/>
              </w:rPr>
            </w:pPr>
            <w:r w:rsidRPr="00B61EC3">
              <w:rPr>
                <w:rFonts w:ascii="Arial" w:hAnsi="Arial" w:cs="Arial"/>
                <w:szCs w:val="24"/>
              </w:rPr>
              <w:t>$0 - $1,000</w:t>
            </w:r>
          </w:p>
        </w:tc>
        <w:tc>
          <w:tcPr>
            <w:tcW w:w="1920" w:type="dxa"/>
            <w:noWrap/>
            <w:hideMark/>
          </w:tcPr>
          <w:p w14:paraId="747EA495" w14:textId="77777777" w:rsidR="00EE33A3" w:rsidRPr="00B61EC3" w:rsidRDefault="00EE33A3" w:rsidP="004046F0">
            <w:pPr>
              <w:jc w:val="left"/>
              <w:rPr>
                <w:rFonts w:ascii="Arial" w:hAnsi="Arial" w:cs="Arial"/>
                <w:szCs w:val="24"/>
              </w:rPr>
            </w:pPr>
            <w:r w:rsidRPr="00B61EC3">
              <w:rPr>
                <w:rFonts w:ascii="Arial" w:hAnsi="Arial" w:cs="Arial"/>
                <w:szCs w:val="24"/>
              </w:rPr>
              <w:t>417</w:t>
            </w:r>
          </w:p>
        </w:tc>
        <w:tc>
          <w:tcPr>
            <w:tcW w:w="2365" w:type="dxa"/>
            <w:noWrap/>
            <w:hideMark/>
          </w:tcPr>
          <w:p w14:paraId="397CE915"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94,828 </w:t>
            </w:r>
          </w:p>
        </w:tc>
        <w:tc>
          <w:tcPr>
            <w:tcW w:w="2015" w:type="dxa"/>
            <w:vAlign w:val="bottom"/>
          </w:tcPr>
          <w:p w14:paraId="08069556"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227 </w:t>
            </w:r>
          </w:p>
        </w:tc>
      </w:tr>
      <w:tr w:rsidR="00EE33A3" w:rsidRPr="00B61EC3" w14:paraId="515F48F7" w14:textId="77777777" w:rsidTr="004046F0">
        <w:trPr>
          <w:trHeight w:val="300"/>
        </w:trPr>
        <w:tc>
          <w:tcPr>
            <w:tcW w:w="2760" w:type="dxa"/>
            <w:noWrap/>
            <w:hideMark/>
          </w:tcPr>
          <w:p w14:paraId="1470B92E" w14:textId="77777777" w:rsidR="00EE33A3" w:rsidRPr="00B61EC3" w:rsidRDefault="00EE33A3" w:rsidP="004046F0">
            <w:pPr>
              <w:jc w:val="left"/>
              <w:rPr>
                <w:rFonts w:ascii="Arial" w:hAnsi="Arial" w:cs="Arial"/>
                <w:szCs w:val="24"/>
              </w:rPr>
            </w:pPr>
            <w:r w:rsidRPr="00B61EC3">
              <w:rPr>
                <w:rFonts w:ascii="Arial" w:hAnsi="Arial" w:cs="Arial"/>
                <w:szCs w:val="24"/>
              </w:rPr>
              <w:t>$1,001 - $2,000</w:t>
            </w:r>
          </w:p>
        </w:tc>
        <w:tc>
          <w:tcPr>
            <w:tcW w:w="1920" w:type="dxa"/>
            <w:noWrap/>
            <w:hideMark/>
          </w:tcPr>
          <w:p w14:paraId="437CE90F" w14:textId="77777777" w:rsidR="00EE33A3" w:rsidRPr="00B61EC3" w:rsidRDefault="00EE33A3" w:rsidP="004046F0">
            <w:pPr>
              <w:jc w:val="left"/>
              <w:rPr>
                <w:rFonts w:ascii="Arial" w:hAnsi="Arial" w:cs="Arial"/>
                <w:szCs w:val="24"/>
              </w:rPr>
            </w:pPr>
            <w:r w:rsidRPr="00B61EC3">
              <w:rPr>
                <w:rFonts w:ascii="Arial" w:hAnsi="Arial" w:cs="Arial"/>
                <w:szCs w:val="24"/>
              </w:rPr>
              <w:t>133</w:t>
            </w:r>
          </w:p>
        </w:tc>
        <w:tc>
          <w:tcPr>
            <w:tcW w:w="2365" w:type="dxa"/>
            <w:noWrap/>
            <w:hideMark/>
          </w:tcPr>
          <w:p w14:paraId="2A05CC00"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194,753 </w:t>
            </w:r>
          </w:p>
        </w:tc>
        <w:tc>
          <w:tcPr>
            <w:tcW w:w="2015" w:type="dxa"/>
            <w:vAlign w:val="bottom"/>
          </w:tcPr>
          <w:p w14:paraId="3B6FF6E3"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1,464 </w:t>
            </w:r>
          </w:p>
        </w:tc>
      </w:tr>
      <w:tr w:rsidR="00EE33A3" w:rsidRPr="00B61EC3" w14:paraId="39563C68" w14:textId="77777777" w:rsidTr="004046F0">
        <w:trPr>
          <w:trHeight w:val="300"/>
        </w:trPr>
        <w:tc>
          <w:tcPr>
            <w:tcW w:w="2760" w:type="dxa"/>
            <w:noWrap/>
            <w:hideMark/>
          </w:tcPr>
          <w:p w14:paraId="4F7F1827" w14:textId="77777777" w:rsidR="00EE33A3" w:rsidRPr="00B61EC3" w:rsidRDefault="00EE33A3" w:rsidP="004046F0">
            <w:pPr>
              <w:jc w:val="left"/>
              <w:rPr>
                <w:rFonts w:ascii="Arial" w:hAnsi="Arial" w:cs="Arial"/>
                <w:szCs w:val="24"/>
              </w:rPr>
            </w:pPr>
            <w:r w:rsidRPr="00B61EC3">
              <w:rPr>
                <w:rFonts w:ascii="Arial" w:hAnsi="Arial" w:cs="Arial"/>
                <w:szCs w:val="24"/>
              </w:rPr>
              <w:t>$2,001 - $5,000</w:t>
            </w:r>
          </w:p>
        </w:tc>
        <w:tc>
          <w:tcPr>
            <w:tcW w:w="1920" w:type="dxa"/>
            <w:noWrap/>
            <w:hideMark/>
          </w:tcPr>
          <w:p w14:paraId="59CE63A3" w14:textId="77777777" w:rsidR="00EE33A3" w:rsidRPr="00B61EC3" w:rsidRDefault="00EE33A3" w:rsidP="004046F0">
            <w:pPr>
              <w:jc w:val="left"/>
              <w:rPr>
                <w:rFonts w:ascii="Arial" w:hAnsi="Arial" w:cs="Arial"/>
                <w:szCs w:val="24"/>
              </w:rPr>
            </w:pPr>
            <w:r w:rsidRPr="00B61EC3">
              <w:rPr>
                <w:rFonts w:ascii="Arial" w:hAnsi="Arial" w:cs="Arial"/>
                <w:szCs w:val="24"/>
              </w:rPr>
              <w:t>225</w:t>
            </w:r>
          </w:p>
        </w:tc>
        <w:tc>
          <w:tcPr>
            <w:tcW w:w="2365" w:type="dxa"/>
            <w:noWrap/>
            <w:hideMark/>
          </w:tcPr>
          <w:p w14:paraId="5DD14B64"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756,007 </w:t>
            </w:r>
          </w:p>
        </w:tc>
        <w:tc>
          <w:tcPr>
            <w:tcW w:w="2015" w:type="dxa"/>
            <w:vAlign w:val="bottom"/>
          </w:tcPr>
          <w:p w14:paraId="414619BD"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3,360 </w:t>
            </w:r>
          </w:p>
        </w:tc>
      </w:tr>
      <w:tr w:rsidR="00EE33A3" w:rsidRPr="00B61EC3" w14:paraId="1426D2F2" w14:textId="77777777" w:rsidTr="004046F0">
        <w:trPr>
          <w:trHeight w:val="300"/>
        </w:trPr>
        <w:tc>
          <w:tcPr>
            <w:tcW w:w="2760" w:type="dxa"/>
            <w:noWrap/>
            <w:hideMark/>
          </w:tcPr>
          <w:p w14:paraId="3C5825F7" w14:textId="77777777" w:rsidR="00EE33A3" w:rsidRPr="00B61EC3" w:rsidRDefault="00EE33A3" w:rsidP="004046F0">
            <w:pPr>
              <w:jc w:val="left"/>
              <w:rPr>
                <w:rFonts w:ascii="Arial" w:hAnsi="Arial" w:cs="Arial"/>
                <w:szCs w:val="24"/>
              </w:rPr>
            </w:pPr>
            <w:r w:rsidRPr="00B61EC3">
              <w:rPr>
                <w:rFonts w:ascii="Arial" w:hAnsi="Arial" w:cs="Arial"/>
                <w:szCs w:val="24"/>
              </w:rPr>
              <w:t>$5,001 - $10,000</w:t>
            </w:r>
          </w:p>
        </w:tc>
        <w:tc>
          <w:tcPr>
            <w:tcW w:w="1920" w:type="dxa"/>
            <w:noWrap/>
            <w:hideMark/>
          </w:tcPr>
          <w:p w14:paraId="1CB559D0" w14:textId="77777777" w:rsidR="00EE33A3" w:rsidRPr="00B61EC3" w:rsidRDefault="00EE33A3" w:rsidP="004046F0">
            <w:pPr>
              <w:jc w:val="left"/>
              <w:rPr>
                <w:rFonts w:ascii="Arial" w:hAnsi="Arial" w:cs="Arial"/>
                <w:szCs w:val="24"/>
              </w:rPr>
            </w:pPr>
            <w:r w:rsidRPr="00B61EC3">
              <w:rPr>
                <w:rFonts w:ascii="Arial" w:hAnsi="Arial" w:cs="Arial"/>
                <w:szCs w:val="24"/>
              </w:rPr>
              <w:t>183</w:t>
            </w:r>
          </w:p>
        </w:tc>
        <w:tc>
          <w:tcPr>
            <w:tcW w:w="2365" w:type="dxa"/>
            <w:noWrap/>
            <w:hideMark/>
          </w:tcPr>
          <w:p w14:paraId="7443354F"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1,299,450 </w:t>
            </w:r>
          </w:p>
        </w:tc>
        <w:tc>
          <w:tcPr>
            <w:tcW w:w="2015" w:type="dxa"/>
            <w:vAlign w:val="bottom"/>
          </w:tcPr>
          <w:p w14:paraId="5161131B"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7,101 </w:t>
            </w:r>
          </w:p>
        </w:tc>
      </w:tr>
      <w:tr w:rsidR="00EE33A3" w:rsidRPr="00B61EC3" w14:paraId="03F346D4" w14:textId="77777777" w:rsidTr="004046F0">
        <w:trPr>
          <w:trHeight w:val="300"/>
        </w:trPr>
        <w:tc>
          <w:tcPr>
            <w:tcW w:w="2760" w:type="dxa"/>
            <w:noWrap/>
            <w:hideMark/>
          </w:tcPr>
          <w:p w14:paraId="3077431D" w14:textId="77777777" w:rsidR="00EE33A3" w:rsidRPr="00B61EC3" w:rsidRDefault="00EE33A3" w:rsidP="004046F0">
            <w:pPr>
              <w:jc w:val="left"/>
              <w:rPr>
                <w:rFonts w:ascii="Arial" w:hAnsi="Arial" w:cs="Arial"/>
                <w:szCs w:val="24"/>
              </w:rPr>
            </w:pPr>
            <w:r w:rsidRPr="00B61EC3">
              <w:rPr>
                <w:rFonts w:ascii="Arial" w:hAnsi="Arial" w:cs="Arial"/>
                <w:szCs w:val="24"/>
              </w:rPr>
              <w:t>$10,001 - $20,000</w:t>
            </w:r>
          </w:p>
        </w:tc>
        <w:tc>
          <w:tcPr>
            <w:tcW w:w="1920" w:type="dxa"/>
            <w:noWrap/>
            <w:hideMark/>
          </w:tcPr>
          <w:p w14:paraId="6A568806" w14:textId="77777777" w:rsidR="00EE33A3" w:rsidRPr="00B61EC3" w:rsidRDefault="00EE33A3" w:rsidP="004046F0">
            <w:pPr>
              <w:jc w:val="left"/>
              <w:rPr>
                <w:rFonts w:ascii="Arial" w:hAnsi="Arial" w:cs="Arial"/>
                <w:szCs w:val="24"/>
              </w:rPr>
            </w:pPr>
            <w:r w:rsidRPr="00B61EC3">
              <w:rPr>
                <w:rFonts w:ascii="Arial" w:hAnsi="Arial" w:cs="Arial"/>
                <w:szCs w:val="24"/>
              </w:rPr>
              <w:t>228</w:t>
            </w:r>
          </w:p>
        </w:tc>
        <w:tc>
          <w:tcPr>
            <w:tcW w:w="2365" w:type="dxa"/>
            <w:noWrap/>
            <w:hideMark/>
          </w:tcPr>
          <w:p w14:paraId="14AD3BE1"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3,441,246 </w:t>
            </w:r>
          </w:p>
        </w:tc>
        <w:tc>
          <w:tcPr>
            <w:tcW w:w="2015" w:type="dxa"/>
            <w:vAlign w:val="bottom"/>
          </w:tcPr>
          <w:p w14:paraId="54DED737"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15,093 </w:t>
            </w:r>
          </w:p>
        </w:tc>
      </w:tr>
      <w:tr w:rsidR="00EE33A3" w:rsidRPr="00B61EC3" w14:paraId="7E38016F" w14:textId="77777777" w:rsidTr="004046F0">
        <w:trPr>
          <w:trHeight w:val="300"/>
        </w:trPr>
        <w:tc>
          <w:tcPr>
            <w:tcW w:w="2760" w:type="dxa"/>
            <w:noWrap/>
            <w:hideMark/>
          </w:tcPr>
          <w:p w14:paraId="26F0F16F" w14:textId="77777777" w:rsidR="00EE33A3" w:rsidRPr="00B61EC3" w:rsidRDefault="00EE33A3" w:rsidP="004046F0">
            <w:pPr>
              <w:jc w:val="left"/>
              <w:rPr>
                <w:rFonts w:ascii="Arial" w:hAnsi="Arial" w:cs="Arial"/>
                <w:szCs w:val="24"/>
              </w:rPr>
            </w:pPr>
            <w:r w:rsidRPr="00B61EC3">
              <w:rPr>
                <w:rFonts w:ascii="Arial" w:hAnsi="Arial" w:cs="Arial"/>
                <w:szCs w:val="24"/>
              </w:rPr>
              <w:t>$20,001 - $50,000</w:t>
            </w:r>
          </w:p>
        </w:tc>
        <w:tc>
          <w:tcPr>
            <w:tcW w:w="1920" w:type="dxa"/>
            <w:noWrap/>
            <w:hideMark/>
          </w:tcPr>
          <w:p w14:paraId="046AEE91" w14:textId="77777777" w:rsidR="00EE33A3" w:rsidRPr="00B61EC3" w:rsidRDefault="00EE33A3" w:rsidP="004046F0">
            <w:pPr>
              <w:jc w:val="left"/>
              <w:rPr>
                <w:rFonts w:ascii="Arial" w:hAnsi="Arial" w:cs="Arial"/>
                <w:szCs w:val="24"/>
              </w:rPr>
            </w:pPr>
            <w:r w:rsidRPr="00B61EC3">
              <w:rPr>
                <w:rFonts w:ascii="Arial" w:hAnsi="Arial" w:cs="Arial"/>
                <w:szCs w:val="24"/>
              </w:rPr>
              <w:t>695</w:t>
            </w:r>
          </w:p>
        </w:tc>
        <w:tc>
          <w:tcPr>
            <w:tcW w:w="2365" w:type="dxa"/>
            <w:noWrap/>
            <w:hideMark/>
          </w:tcPr>
          <w:p w14:paraId="154EEFD8"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24,849,051 </w:t>
            </w:r>
          </w:p>
        </w:tc>
        <w:tc>
          <w:tcPr>
            <w:tcW w:w="2015" w:type="dxa"/>
            <w:vAlign w:val="bottom"/>
          </w:tcPr>
          <w:p w14:paraId="1053E9AB"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35,754 </w:t>
            </w:r>
          </w:p>
        </w:tc>
      </w:tr>
      <w:tr w:rsidR="00EE33A3" w:rsidRPr="00B61EC3" w14:paraId="01DE4D9D" w14:textId="77777777" w:rsidTr="004046F0">
        <w:trPr>
          <w:trHeight w:val="300"/>
        </w:trPr>
        <w:tc>
          <w:tcPr>
            <w:tcW w:w="2760" w:type="dxa"/>
            <w:noWrap/>
            <w:hideMark/>
          </w:tcPr>
          <w:p w14:paraId="459C07FE" w14:textId="77777777" w:rsidR="00EE33A3" w:rsidRPr="00B61EC3" w:rsidRDefault="00EE33A3" w:rsidP="004046F0">
            <w:pPr>
              <w:jc w:val="left"/>
              <w:rPr>
                <w:rFonts w:ascii="Arial" w:hAnsi="Arial" w:cs="Arial"/>
                <w:szCs w:val="24"/>
              </w:rPr>
            </w:pPr>
            <w:r w:rsidRPr="00B61EC3">
              <w:rPr>
                <w:rFonts w:ascii="Arial" w:hAnsi="Arial" w:cs="Arial"/>
                <w:szCs w:val="24"/>
              </w:rPr>
              <w:t>$50,001 - $100,000</w:t>
            </w:r>
          </w:p>
        </w:tc>
        <w:tc>
          <w:tcPr>
            <w:tcW w:w="1920" w:type="dxa"/>
            <w:noWrap/>
            <w:hideMark/>
          </w:tcPr>
          <w:p w14:paraId="0DEB811B" w14:textId="77777777" w:rsidR="00EE33A3" w:rsidRPr="00B61EC3" w:rsidRDefault="00EE33A3" w:rsidP="004046F0">
            <w:pPr>
              <w:jc w:val="left"/>
              <w:rPr>
                <w:rFonts w:ascii="Arial" w:hAnsi="Arial" w:cs="Arial"/>
                <w:szCs w:val="24"/>
              </w:rPr>
            </w:pPr>
            <w:r w:rsidRPr="00B61EC3">
              <w:rPr>
                <w:rFonts w:ascii="Arial" w:hAnsi="Arial" w:cs="Arial"/>
                <w:szCs w:val="24"/>
              </w:rPr>
              <w:t>557</w:t>
            </w:r>
          </w:p>
        </w:tc>
        <w:tc>
          <w:tcPr>
            <w:tcW w:w="2365" w:type="dxa"/>
            <w:noWrap/>
            <w:hideMark/>
          </w:tcPr>
          <w:p w14:paraId="1EC49684"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39,393,707 </w:t>
            </w:r>
          </w:p>
        </w:tc>
        <w:tc>
          <w:tcPr>
            <w:tcW w:w="2015" w:type="dxa"/>
            <w:vAlign w:val="bottom"/>
          </w:tcPr>
          <w:p w14:paraId="76CF1825"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70,725 </w:t>
            </w:r>
          </w:p>
        </w:tc>
      </w:tr>
      <w:tr w:rsidR="00EE33A3" w:rsidRPr="00B61EC3" w14:paraId="0C857FC1" w14:textId="77777777" w:rsidTr="004046F0">
        <w:trPr>
          <w:trHeight w:val="300"/>
        </w:trPr>
        <w:tc>
          <w:tcPr>
            <w:tcW w:w="2760" w:type="dxa"/>
            <w:noWrap/>
            <w:hideMark/>
          </w:tcPr>
          <w:p w14:paraId="4854316A" w14:textId="77777777" w:rsidR="00EE33A3" w:rsidRPr="00B61EC3" w:rsidRDefault="00EE33A3" w:rsidP="004046F0">
            <w:pPr>
              <w:jc w:val="left"/>
              <w:rPr>
                <w:rFonts w:ascii="Arial" w:hAnsi="Arial" w:cs="Arial"/>
                <w:szCs w:val="24"/>
              </w:rPr>
            </w:pPr>
            <w:r w:rsidRPr="00B61EC3">
              <w:rPr>
                <w:rFonts w:ascii="Arial" w:hAnsi="Arial" w:cs="Arial"/>
                <w:szCs w:val="24"/>
              </w:rPr>
              <w:t>$100,001 - $200,000</w:t>
            </w:r>
          </w:p>
        </w:tc>
        <w:tc>
          <w:tcPr>
            <w:tcW w:w="1920" w:type="dxa"/>
            <w:noWrap/>
            <w:hideMark/>
          </w:tcPr>
          <w:p w14:paraId="60F87DE2" w14:textId="77777777" w:rsidR="00EE33A3" w:rsidRPr="00B61EC3" w:rsidRDefault="00EE33A3" w:rsidP="004046F0">
            <w:pPr>
              <w:jc w:val="left"/>
              <w:rPr>
                <w:rFonts w:ascii="Arial" w:hAnsi="Arial" w:cs="Arial"/>
                <w:szCs w:val="24"/>
              </w:rPr>
            </w:pPr>
            <w:r w:rsidRPr="00B61EC3">
              <w:rPr>
                <w:rFonts w:ascii="Arial" w:hAnsi="Arial" w:cs="Arial"/>
                <w:szCs w:val="24"/>
              </w:rPr>
              <w:t>343</w:t>
            </w:r>
          </w:p>
        </w:tc>
        <w:tc>
          <w:tcPr>
            <w:tcW w:w="2365" w:type="dxa"/>
            <w:noWrap/>
            <w:hideMark/>
          </w:tcPr>
          <w:p w14:paraId="380237CB"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47,159,554 </w:t>
            </w:r>
          </w:p>
        </w:tc>
        <w:tc>
          <w:tcPr>
            <w:tcW w:w="2015" w:type="dxa"/>
            <w:vAlign w:val="bottom"/>
          </w:tcPr>
          <w:p w14:paraId="482347C7"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137,491 </w:t>
            </w:r>
          </w:p>
        </w:tc>
      </w:tr>
      <w:tr w:rsidR="00EE33A3" w:rsidRPr="00B61EC3" w14:paraId="197445B9" w14:textId="77777777" w:rsidTr="004046F0">
        <w:trPr>
          <w:trHeight w:val="300"/>
        </w:trPr>
        <w:tc>
          <w:tcPr>
            <w:tcW w:w="2760" w:type="dxa"/>
            <w:noWrap/>
            <w:hideMark/>
          </w:tcPr>
          <w:p w14:paraId="7882B626" w14:textId="77777777" w:rsidR="00EE33A3" w:rsidRPr="00B61EC3" w:rsidRDefault="00EE33A3" w:rsidP="004046F0">
            <w:pPr>
              <w:jc w:val="left"/>
              <w:rPr>
                <w:rFonts w:ascii="Arial" w:hAnsi="Arial" w:cs="Arial"/>
                <w:szCs w:val="24"/>
              </w:rPr>
            </w:pPr>
            <w:r w:rsidRPr="00B61EC3">
              <w:rPr>
                <w:rFonts w:ascii="Arial" w:hAnsi="Arial" w:cs="Arial"/>
                <w:szCs w:val="24"/>
              </w:rPr>
              <w:t>$200,001 - $500,000</w:t>
            </w:r>
          </w:p>
        </w:tc>
        <w:tc>
          <w:tcPr>
            <w:tcW w:w="1920" w:type="dxa"/>
            <w:noWrap/>
            <w:hideMark/>
          </w:tcPr>
          <w:p w14:paraId="4992C1FF" w14:textId="77777777" w:rsidR="00EE33A3" w:rsidRPr="00B61EC3" w:rsidRDefault="00EE33A3" w:rsidP="004046F0">
            <w:pPr>
              <w:jc w:val="left"/>
              <w:rPr>
                <w:rFonts w:ascii="Arial" w:hAnsi="Arial" w:cs="Arial"/>
                <w:szCs w:val="24"/>
              </w:rPr>
            </w:pPr>
            <w:r w:rsidRPr="00B61EC3">
              <w:rPr>
                <w:rFonts w:ascii="Arial" w:hAnsi="Arial" w:cs="Arial"/>
                <w:szCs w:val="24"/>
              </w:rPr>
              <w:t>222</w:t>
            </w:r>
          </w:p>
        </w:tc>
        <w:tc>
          <w:tcPr>
            <w:tcW w:w="2365" w:type="dxa"/>
            <w:noWrap/>
            <w:hideMark/>
          </w:tcPr>
          <w:p w14:paraId="1E292696"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67,461,098 </w:t>
            </w:r>
          </w:p>
        </w:tc>
        <w:tc>
          <w:tcPr>
            <w:tcW w:w="2015" w:type="dxa"/>
            <w:vAlign w:val="bottom"/>
          </w:tcPr>
          <w:p w14:paraId="2BB9FEE4"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303,879 </w:t>
            </w:r>
          </w:p>
        </w:tc>
      </w:tr>
      <w:tr w:rsidR="00EE33A3" w:rsidRPr="00B61EC3" w14:paraId="55B7697D" w14:textId="77777777" w:rsidTr="004046F0">
        <w:trPr>
          <w:trHeight w:val="300"/>
        </w:trPr>
        <w:tc>
          <w:tcPr>
            <w:tcW w:w="2760" w:type="dxa"/>
            <w:noWrap/>
            <w:hideMark/>
          </w:tcPr>
          <w:p w14:paraId="1CA39C55" w14:textId="77777777" w:rsidR="00EE33A3" w:rsidRPr="00B61EC3" w:rsidRDefault="00EE33A3" w:rsidP="004046F0">
            <w:pPr>
              <w:jc w:val="left"/>
              <w:rPr>
                <w:rFonts w:ascii="Arial" w:hAnsi="Arial" w:cs="Arial"/>
                <w:szCs w:val="24"/>
              </w:rPr>
            </w:pPr>
            <w:r w:rsidRPr="00B61EC3">
              <w:rPr>
                <w:rFonts w:ascii="Arial" w:hAnsi="Arial" w:cs="Arial"/>
                <w:szCs w:val="24"/>
              </w:rPr>
              <w:t>$500,001 - $1,000,000</w:t>
            </w:r>
          </w:p>
        </w:tc>
        <w:tc>
          <w:tcPr>
            <w:tcW w:w="1920" w:type="dxa"/>
            <w:noWrap/>
            <w:hideMark/>
          </w:tcPr>
          <w:p w14:paraId="4BB11F5A" w14:textId="77777777" w:rsidR="00EE33A3" w:rsidRPr="00B61EC3" w:rsidRDefault="00EE33A3" w:rsidP="004046F0">
            <w:pPr>
              <w:jc w:val="left"/>
              <w:rPr>
                <w:rFonts w:ascii="Arial" w:hAnsi="Arial" w:cs="Arial"/>
                <w:szCs w:val="24"/>
              </w:rPr>
            </w:pPr>
            <w:r w:rsidRPr="00B61EC3">
              <w:rPr>
                <w:rFonts w:ascii="Arial" w:hAnsi="Arial" w:cs="Arial"/>
                <w:szCs w:val="24"/>
              </w:rPr>
              <w:t>69</w:t>
            </w:r>
          </w:p>
        </w:tc>
        <w:tc>
          <w:tcPr>
            <w:tcW w:w="2365" w:type="dxa"/>
            <w:noWrap/>
            <w:hideMark/>
          </w:tcPr>
          <w:p w14:paraId="650C9B8E"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45,455,407 </w:t>
            </w:r>
          </w:p>
        </w:tc>
        <w:tc>
          <w:tcPr>
            <w:tcW w:w="2015" w:type="dxa"/>
            <w:vAlign w:val="bottom"/>
          </w:tcPr>
          <w:p w14:paraId="2FB88AF3"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658,774 </w:t>
            </w:r>
          </w:p>
        </w:tc>
      </w:tr>
      <w:tr w:rsidR="00EE33A3" w:rsidRPr="00B61EC3" w14:paraId="040E1D81" w14:textId="77777777" w:rsidTr="004046F0">
        <w:trPr>
          <w:trHeight w:val="300"/>
        </w:trPr>
        <w:tc>
          <w:tcPr>
            <w:tcW w:w="2760" w:type="dxa"/>
            <w:noWrap/>
            <w:hideMark/>
          </w:tcPr>
          <w:p w14:paraId="7856B8BF" w14:textId="77777777" w:rsidR="00EE33A3" w:rsidRPr="00B61EC3" w:rsidRDefault="00EE33A3" w:rsidP="004046F0">
            <w:pPr>
              <w:jc w:val="left"/>
              <w:rPr>
                <w:rFonts w:ascii="Arial" w:hAnsi="Arial" w:cs="Arial"/>
                <w:szCs w:val="24"/>
              </w:rPr>
            </w:pPr>
            <w:r w:rsidRPr="00B61EC3">
              <w:rPr>
                <w:rFonts w:ascii="Arial" w:hAnsi="Arial" w:cs="Arial"/>
                <w:szCs w:val="24"/>
              </w:rPr>
              <w:t>$1,000,001 - $2,000,000</w:t>
            </w:r>
          </w:p>
        </w:tc>
        <w:tc>
          <w:tcPr>
            <w:tcW w:w="1920" w:type="dxa"/>
            <w:noWrap/>
            <w:hideMark/>
          </w:tcPr>
          <w:p w14:paraId="31FA7D82" w14:textId="77777777" w:rsidR="00EE33A3" w:rsidRPr="00B61EC3" w:rsidRDefault="00EE33A3" w:rsidP="004046F0">
            <w:pPr>
              <w:jc w:val="left"/>
              <w:rPr>
                <w:rFonts w:ascii="Arial" w:hAnsi="Arial" w:cs="Arial"/>
                <w:szCs w:val="24"/>
              </w:rPr>
            </w:pPr>
            <w:r w:rsidRPr="00B61EC3">
              <w:rPr>
                <w:rFonts w:ascii="Arial" w:hAnsi="Arial" w:cs="Arial"/>
                <w:szCs w:val="24"/>
              </w:rPr>
              <w:t>26</w:t>
            </w:r>
          </w:p>
        </w:tc>
        <w:tc>
          <w:tcPr>
            <w:tcW w:w="2365" w:type="dxa"/>
            <w:noWrap/>
            <w:hideMark/>
          </w:tcPr>
          <w:p w14:paraId="71ADC375"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35,315,814 </w:t>
            </w:r>
          </w:p>
        </w:tc>
        <w:tc>
          <w:tcPr>
            <w:tcW w:w="2015" w:type="dxa"/>
            <w:vAlign w:val="bottom"/>
          </w:tcPr>
          <w:p w14:paraId="32305A8A"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1,358,301 </w:t>
            </w:r>
          </w:p>
        </w:tc>
      </w:tr>
      <w:tr w:rsidR="00EE33A3" w:rsidRPr="00B61EC3" w14:paraId="398D2C14" w14:textId="77777777" w:rsidTr="004046F0">
        <w:trPr>
          <w:trHeight w:val="300"/>
        </w:trPr>
        <w:tc>
          <w:tcPr>
            <w:tcW w:w="2760" w:type="dxa"/>
            <w:noWrap/>
            <w:hideMark/>
          </w:tcPr>
          <w:p w14:paraId="2C8E8846" w14:textId="77777777" w:rsidR="00EE33A3" w:rsidRPr="00B61EC3" w:rsidRDefault="00EE33A3" w:rsidP="004046F0">
            <w:pPr>
              <w:jc w:val="left"/>
              <w:rPr>
                <w:rFonts w:ascii="Arial" w:hAnsi="Arial" w:cs="Arial"/>
                <w:szCs w:val="24"/>
              </w:rPr>
            </w:pPr>
            <w:r w:rsidRPr="00B61EC3">
              <w:rPr>
                <w:rFonts w:ascii="Arial" w:hAnsi="Arial" w:cs="Arial"/>
                <w:szCs w:val="24"/>
              </w:rPr>
              <w:t>$2,000,001 - $5,000,000</w:t>
            </w:r>
          </w:p>
        </w:tc>
        <w:tc>
          <w:tcPr>
            <w:tcW w:w="1920" w:type="dxa"/>
            <w:noWrap/>
            <w:hideMark/>
          </w:tcPr>
          <w:p w14:paraId="730EB7EC" w14:textId="77777777" w:rsidR="00EE33A3" w:rsidRPr="00B61EC3" w:rsidRDefault="00EE33A3" w:rsidP="004046F0">
            <w:pPr>
              <w:jc w:val="left"/>
              <w:rPr>
                <w:rFonts w:ascii="Arial" w:hAnsi="Arial" w:cs="Arial"/>
                <w:szCs w:val="24"/>
              </w:rPr>
            </w:pPr>
            <w:r w:rsidRPr="00B61EC3">
              <w:rPr>
                <w:rFonts w:ascii="Arial" w:hAnsi="Arial" w:cs="Arial"/>
                <w:szCs w:val="24"/>
              </w:rPr>
              <w:t>10</w:t>
            </w:r>
          </w:p>
        </w:tc>
        <w:tc>
          <w:tcPr>
            <w:tcW w:w="2365" w:type="dxa"/>
            <w:noWrap/>
            <w:hideMark/>
          </w:tcPr>
          <w:p w14:paraId="16B2D86A"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26,007,087 </w:t>
            </w:r>
          </w:p>
        </w:tc>
        <w:tc>
          <w:tcPr>
            <w:tcW w:w="2015" w:type="dxa"/>
            <w:vAlign w:val="bottom"/>
          </w:tcPr>
          <w:p w14:paraId="662521C3"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2,600,709 </w:t>
            </w:r>
          </w:p>
        </w:tc>
      </w:tr>
      <w:tr w:rsidR="00EE33A3" w:rsidRPr="00B61EC3" w14:paraId="42204EA2" w14:textId="77777777" w:rsidTr="004046F0">
        <w:trPr>
          <w:trHeight w:val="300"/>
        </w:trPr>
        <w:tc>
          <w:tcPr>
            <w:tcW w:w="2760" w:type="dxa"/>
            <w:noWrap/>
            <w:hideMark/>
          </w:tcPr>
          <w:p w14:paraId="77E0C6DD" w14:textId="77777777" w:rsidR="00EE33A3" w:rsidRPr="00B61EC3" w:rsidRDefault="00EE33A3" w:rsidP="004046F0">
            <w:pPr>
              <w:jc w:val="left"/>
              <w:rPr>
                <w:rFonts w:ascii="Arial" w:hAnsi="Arial" w:cs="Arial"/>
                <w:szCs w:val="24"/>
              </w:rPr>
            </w:pPr>
            <w:r w:rsidRPr="00B61EC3">
              <w:rPr>
                <w:rFonts w:ascii="Arial" w:hAnsi="Arial" w:cs="Arial"/>
                <w:szCs w:val="24"/>
              </w:rPr>
              <w:t>Greater than $5,000,000</w:t>
            </w:r>
          </w:p>
        </w:tc>
        <w:tc>
          <w:tcPr>
            <w:tcW w:w="1920" w:type="dxa"/>
            <w:noWrap/>
            <w:hideMark/>
          </w:tcPr>
          <w:p w14:paraId="053A170E" w14:textId="77777777" w:rsidR="00EE33A3" w:rsidRPr="00B61EC3" w:rsidRDefault="00EE33A3" w:rsidP="004046F0">
            <w:pPr>
              <w:jc w:val="left"/>
              <w:rPr>
                <w:rFonts w:ascii="Arial" w:hAnsi="Arial" w:cs="Arial"/>
                <w:szCs w:val="24"/>
              </w:rPr>
            </w:pPr>
            <w:r w:rsidRPr="00B61EC3">
              <w:rPr>
                <w:rFonts w:ascii="Arial" w:hAnsi="Arial" w:cs="Arial"/>
                <w:szCs w:val="24"/>
              </w:rPr>
              <w:t>4</w:t>
            </w:r>
          </w:p>
        </w:tc>
        <w:tc>
          <w:tcPr>
            <w:tcW w:w="2365" w:type="dxa"/>
            <w:noWrap/>
            <w:hideMark/>
          </w:tcPr>
          <w:p w14:paraId="209336D9" w14:textId="77777777" w:rsidR="00EE33A3" w:rsidRPr="00B61EC3" w:rsidRDefault="00EE33A3" w:rsidP="004046F0">
            <w:pPr>
              <w:jc w:val="left"/>
              <w:rPr>
                <w:rFonts w:ascii="Arial" w:hAnsi="Arial" w:cs="Arial"/>
                <w:szCs w:val="24"/>
              </w:rPr>
            </w:pPr>
            <w:r w:rsidRPr="00B61EC3">
              <w:rPr>
                <w:rFonts w:ascii="Arial" w:hAnsi="Arial" w:cs="Arial"/>
                <w:szCs w:val="24"/>
              </w:rPr>
              <w:t xml:space="preserve"> $             29,319,277 </w:t>
            </w:r>
          </w:p>
        </w:tc>
        <w:tc>
          <w:tcPr>
            <w:tcW w:w="2015" w:type="dxa"/>
            <w:vAlign w:val="bottom"/>
          </w:tcPr>
          <w:p w14:paraId="4AABF69A" w14:textId="77777777" w:rsidR="00EE33A3" w:rsidRPr="00B61EC3" w:rsidRDefault="00EE33A3" w:rsidP="004046F0">
            <w:pPr>
              <w:jc w:val="left"/>
              <w:rPr>
                <w:rFonts w:ascii="Arial" w:hAnsi="Arial" w:cs="Arial"/>
                <w:szCs w:val="24"/>
              </w:rPr>
            </w:pPr>
            <w:r w:rsidRPr="00B61EC3">
              <w:rPr>
                <w:rFonts w:ascii="Arial" w:hAnsi="Arial" w:cs="Arial"/>
                <w:color w:val="000000"/>
              </w:rPr>
              <w:t xml:space="preserve"> $                                 7,329,819 </w:t>
            </w:r>
          </w:p>
        </w:tc>
      </w:tr>
      <w:tr w:rsidR="00EE33A3" w:rsidRPr="00267AAE" w14:paraId="05FEF24C" w14:textId="77777777" w:rsidTr="004046F0">
        <w:trPr>
          <w:trHeight w:val="315"/>
        </w:trPr>
        <w:tc>
          <w:tcPr>
            <w:tcW w:w="2760" w:type="dxa"/>
            <w:noWrap/>
            <w:hideMark/>
          </w:tcPr>
          <w:p w14:paraId="6C756AC6" w14:textId="77777777" w:rsidR="00EE33A3" w:rsidRPr="00B61EC3" w:rsidRDefault="00EE33A3" w:rsidP="004046F0">
            <w:pPr>
              <w:jc w:val="left"/>
              <w:rPr>
                <w:rFonts w:ascii="Arial" w:hAnsi="Arial" w:cs="Arial"/>
                <w:b/>
                <w:bCs/>
                <w:szCs w:val="24"/>
              </w:rPr>
            </w:pPr>
            <w:r w:rsidRPr="00B61EC3">
              <w:rPr>
                <w:rFonts w:ascii="Arial" w:hAnsi="Arial" w:cs="Arial"/>
                <w:b/>
                <w:bCs/>
                <w:szCs w:val="24"/>
              </w:rPr>
              <w:t xml:space="preserve">Total </w:t>
            </w:r>
          </w:p>
        </w:tc>
        <w:tc>
          <w:tcPr>
            <w:tcW w:w="1920" w:type="dxa"/>
            <w:noWrap/>
            <w:hideMark/>
          </w:tcPr>
          <w:p w14:paraId="6F8E2A88" w14:textId="77777777" w:rsidR="00EE33A3" w:rsidRPr="00B61EC3" w:rsidRDefault="00EE33A3" w:rsidP="004046F0">
            <w:pPr>
              <w:jc w:val="left"/>
              <w:rPr>
                <w:rFonts w:ascii="Arial" w:hAnsi="Arial" w:cs="Arial"/>
                <w:b/>
                <w:bCs/>
                <w:szCs w:val="24"/>
              </w:rPr>
            </w:pPr>
            <w:r w:rsidRPr="00B61EC3">
              <w:rPr>
                <w:rFonts w:ascii="Arial" w:hAnsi="Arial" w:cs="Arial"/>
                <w:b/>
                <w:bCs/>
                <w:szCs w:val="24"/>
              </w:rPr>
              <w:t>3,112</w:t>
            </w:r>
          </w:p>
        </w:tc>
        <w:tc>
          <w:tcPr>
            <w:tcW w:w="2365" w:type="dxa"/>
            <w:noWrap/>
            <w:hideMark/>
          </w:tcPr>
          <w:p w14:paraId="3C02A64E" w14:textId="77777777" w:rsidR="00EE33A3" w:rsidRPr="00B61EC3" w:rsidRDefault="00EE33A3" w:rsidP="004046F0">
            <w:pPr>
              <w:jc w:val="left"/>
              <w:rPr>
                <w:rFonts w:ascii="Arial" w:hAnsi="Arial" w:cs="Arial"/>
                <w:b/>
                <w:bCs/>
                <w:szCs w:val="24"/>
              </w:rPr>
            </w:pPr>
            <w:r w:rsidRPr="00B61EC3">
              <w:rPr>
                <w:rFonts w:ascii="Arial" w:hAnsi="Arial" w:cs="Arial"/>
                <w:b/>
                <w:bCs/>
                <w:szCs w:val="24"/>
              </w:rPr>
              <w:t xml:space="preserve"> $           320,747,279 </w:t>
            </w:r>
          </w:p>
        </w:tc>
        <w:tc>
          <w:tcPr>
            <w:tcW w:w="2015" w:type="dxa"/>
            <w:vAlign w:val="bottom"/>
          </w:tcPr>
          <w:p w14:paraId="4CB2E4C3" w14:textId="77777777" w:rsidR="00EE33A3" w:rsidRPr="00B61EC3" w:rsidRDefault="00EE33A3" w:rsidP="004046F0">
            <w:pPr>
              <w:jc w:val="left"/>
              <w:rPr>
                <w:rFonts w:ascii="Arial" w:hAnsi="Arial" w:cs="Arial"/>
                <w:b/>
                <w:bCs/>
                <w:szCs w:val="24"/>
              </w:rPr>
            </w:pPr>
            <w:r w:rsidRPr="00B61EC3">
              <w:rPr>
                <w:rFonts w:ascii="Arial" w:hAnsi="Arial" w:cs="Arial"/>
                <w:b/>
                <w:bCs/>
                <w:color w:val="000000"/>
              </w:rPr>
              <w:t xml:space="preserve"> $                                    103,068 </w:t>
            </w:r>
          </w:p>
        </w:tc>
      </w:tr>
    </w:tbl>
    <w:p w14:paraId="20A1FED7" w14:textId="77777777" w:rsidR="00EE33A3" w:rsidRDefault="00EE33A3" w:rsidP="00EE33A3">
      <w:pPr>
        <w:pStyle w:val="NoParagraphStyle"/>
        <w:suppressAutoHyphens/>
        <w:spacing w:line="240" w:lineRule="auto"/>
        <w:jc w:val="both"/>
        <w:rPr>
          <w:rFonts w:ascii="Arial" w:hAnsi="Arial" w:cs="Arial"/>
          <w:color w:val="auto"/>
          <w:lang w:val="en-AU"/>
        </w:rPr>
      </w:pPr>
      <w:r>
        <w:rPr>
          <w:rFonts w:ascii="Arial" w:hAnsi="Arial" w:cs="Arial"/>
          <w:color w:val="auto"/>
          <w:lang w:val="en-AU"/>
        </w:rPr>
        <w:t>*Excludes minor injury claims</w:t>
      </w:r>
    </w:p>
    <w:p w14:paraId="01BA3E8C" w14:textId="77777777" w:rsidR="00EE33A3" w:rsidRDefault="00EE33A3" w:rsidP="00EE33A3">
      <w:pPr>
        <w:pStyle w:val="NoParagraphStyle"/>
        <w:suppressAutoHyphens/>
        <w:spacing w:line="240" w:lineRule="auto"/>
        <w:jc w:val="both"/>
        <w:rPr>
          <w:rFonts w:ascii="Arial" w:hAnsi="Arial" w:cs="Arial"/>
          <w:color w:val="auto"/>
          <w:lang w:val="en-AU"/>
        </w:rPr>
      </w:pPr>
    </w:p>
    <w:p w14:paraId="60FE3C6D" w14:textId="77777777" w:rsidR="00EE33A3" w:rsidRPr="00BB3520" w:rsidRDefault="00EE33A3" w:rsidP="00EE33A3">
      <w:pPr>
        <w:pStyle w:val="NoParagraphStyle"/>
        <w:suppressAutoHyphens/>
        <w:spacing w:line="240" w:lineRule="auto"/>
        <w:jc w:val="both"/>
        <w:rPr>
          <w:rFonts w:ascii="Arial" w:hAnsi="Arial" w:cs="Arial"/>
          <w:color w:val="auto"/>
          <w:lang w:val="en-AU"/>
        </w:rPr>
      </w:pPr>
      <w:r w:rsidRPr="000E5DEB">
        <w:rPr>
          <w:rFonts w:ascii="Arial" w:hAnsi="Arial" w:cs="Arial"/>
          <w:color w:val="auto"/>
          <w:lang w:val="en-AU"/>
        </w:rPr>
        <w:t xml:space="preserve">The map on the following page shows the crash locations across the WA regions by number of new </w:t>
      </w:r>
      <w:r>
        <w:rPr>
          <w:rFonts w:ascii="Arial" w:hAnsi="Arial" w:cs="Arial"/>
          <w:color w:val="auto"/>
          <w:lang w:val="en-AU"/>
        </w:rPr>
        <w:t xml:space="preserve">CTP compensation </w:t>
      </w:r>
      <w:r w:rsidRPr="000E5DEB">
        <w:rPr>
          <w:rFonts w:ascii="Arial" w:hAnsi="Arial" w:cs="Arial"/>
          <w:color w:val="auto"/>
          <w:lang w:val="en-AU"/>
        </w:rPr>
        <w:t>claims (excluding minor injury claims) and</w:t>
      </w:r>
      <w:r w:rsidRPr="000E5DEB">
        <w:rPr>
          <w:rFonts w:ascii="Arial" w:eastAsia="Calibri" w:hAnsi="Arial" w:cs="Arial"/>
          <w:lang w:val="en-AU" w:eastAsia="en-AU"/>
        </w:rPr>
        <w:t xml:space="preserve"> the claims payments for crashes in that region</w:t>
      </w:r>
      <w:r w:rsidRPr="000E5DEB">
        <w:rPr>
          <w:rFonts w:ascii="Arial" w:hAnsi="Arial" w:cs="Arial"/>
          <w:color w:val="auto"/>
          <w:lang w:val="en-AU"/>
        </w:rPr>
        <w:t>. The metropolitan area recorded the highest number of crashes (</w:t>
      </w:r>
      <w:r>
        <w:rPr>
          <w:rFonts w:ascii="Arial" w:hAnsi="Arial" w:cs="Arial"/>
          <w:color w:val="auto"/>
          <w:lang w:val="en-AU"/>
        </w:rPr>
        <w:t>9,335</w:t>
      </w:r>
      <w:r w:rsidRPr="000E5DEB">
        <w:rPr>
          <w:rFonts w:ascii="Arial" w:hAnsi="Arial" w:cs="Arial"/>
          <w:color w:val="auto"/>
          <w:lang w:val="en-AU"/>
        </w:rPr>
        <w:t>) and payments of $</w:t>
      </w:r>
      <w:r>
        <w:rPr>
          <w:rFonts w:ascii="Arial" w:hAnsi="Arial" w:cs="Arial"/>
          <w:color w:val="auto"/>
          <w:lang w:val="en-AU"/>
        </w:rPr>
        <w:t>293.5</w:t>
      </w:r>
      <w:r w:rsidRPr="000E5DEB">
        <w:rPr>
          <w:rFonts w:ascii="Arial" w:hAnsi="Arial" w:cs="Arial"/>
          <w:color w:val="auto"/>
          <w:lang w:val="en-AU"/>
        </w:rPr>
        <w:t xml:space="preserve"> million</w:t>
      </w:r>
      <w:r>
        <w:rPr>
          <w:rFonts w:ascii="Arial" w:hAnsi="Arial" w:cs="Arial"/>
          <w:color w:val="auto"/>
          <w:lang w:val="en-AU"/>
        </w:rPr>
        <w:t xml:space="preserve"> in 2018</w:t>
      </w:r>
      <w:r w:rsidRPr="000E5DEB">
        <w:rPr>
          <w:rFonts w:ascii="Arial" w:hAnsi="Arial" w:cs="Arial"/>
          <w:color w:val="auto"/>
          <w:lang w:val="en-AU"/>
        </w:rPr>
        <w:t>.</w:t>
      </w:r>
      <w:r w:rsidRPr="00BB3520">
        <w:rPr>
          <w:rFonts w:ascii="Arial" w:hAnsi="Arial" w:cs="Arial"/>
          <w:color w:val="auto"/>
          <w:lang w:val="en-AU"/>
        </w:rPr>
        <w:t xml:space="preserve"> </w:t>
      </w:r>
    </w:p>
    <w:p w14:paraId="14610AF4" w14:textId="77777777" w:rsidR="00EE33A3" w:rsidRPr="00BB3520" w:rsidRDefault="00EE33A3" w:rsidP="00EE33A3">
      <w:pPr>
        <w:pStyle w:val="NoParagraphStyle"/>
        <w:suppressAutoHyphens/>
        <w:spacing w:line="240" w:lineRule="auto"/>
        <w:jc w:val="both"/>
        <w:rPr>
          <w:rFonts w:ascii="Arial" w:hAnsi="Arial" w:cs="Arial"/>
          <w:color w:val="auto"/>
          <w:lang w:val="en-AU"/>
        </w:rPr>
      </w:pPr>
    </w:p>
    <w:p w14:paraId="69EDE597" w14:textId="77777777" w:rsidR="00EE33A3" w:rsidRPr="00BB3520" w:rsidRDefault="00EE33A3" w:rsidP="00EE33A3">
      <w:pPr>
        <w:pStyle w:val="NoParagraphStyle"/>
        <w:suppressAutoHyphens/>
        <w:spacing w:line="240" w:lineRule="auto"/>
        <w:jc w:val="both"/>
        <w:rPr>
          <w:rFonts w:ascii="Arial" w:hAnsi="Arial" w:cs="Arial"/>
          <w:color w:val="auto"/>
          <w:highlight w:val="yellow"/>
          <w:lang w:val="en-AU"/>
        </w:rPr>
      </w:pPr>
    </w:p>
    <w:p w14:paraId="668DBF79" w14:textId="77777777" w:rsidR="00EE33A3" w:rsidRPr="00AD751F" w:rsidRDefault="00EE33A3" w:rsidP="00EE33A3">
      <w:pPr>
        <w:pStyle w:val="NoParagraphStyle"/>
        <w:suppressAutoHyphens/>
        <w:spacing w:line="240" w:lineRule="auto"/>
        <w:jc w:val="both"/>
        <w:rPr>
          <w:rFonts w:ascii="Arial" w:hAnsi="Arial" w:cs="Arial"/>
          <w:i/>
        </w:rPr>
      </w:pPr>
      <w:r w:rsidRPr="00AD751F">
        <w:rPr>
          <w:rFonts w:ascii="Arial" w:hAnsi="Arial" w:cs="Arial"/>
          <w:i/>
        </w:rPr>
        <w:lastRenderedPageBreak/>
        <w:t>Infographic – Crash Claims Paid including Minor Injury Claims (total payments and estimates are irrespective of accident year)</w:t>
      </w:r>
    </w:p>
    <w:p w14:paraId="66F77B31" w14:textId="77777777" w:rsidR="00EE33A3" w:rsidRPr="00AD751F" w:rsidRDefault="00EE33A3" w:rsidP="00EE33A3">
      <w:pPr>
        <w:pStyle w:val="NoParagraphStyle"/>
        <w:suppressAutoHyphens/>
        <w:spacing w:line="240" w:lineRule="auto"/>
        <w:jc w:val="both"/>
        <w:rPr>
          <w:rFonts w:ascii="Arial" w:hAnsi="Arial" w:cs="Arial"/>
        </w:rPr>
      </w:pPr>
    </w:p>
    <w:tbl>
      <w:tblPr>
        <w:tblW w:w="8947" w:type="dxa"/>
        <w:tblInd w:w="113" w:type="dxa"/>
        <w:tblLook w:val="04A0" w:firstRow="1" w:lastRow="0" w:firstColumn="1" w:lastColumn="0" w:noHBand="0" w:noVBand="1"/>
      </w:tblPr>
      <w:tblGrid>
        <w:gridCol w:w="3520"/>
        <w:gridCol w:w="1640"/>
        <w:gridCol w:w="2100"/>
        <w:gridCol w:w="1687"/>
      </w:tblGrid>
      <w:tr w:rsidR="00EE33A3" w:rsidRPr="00AD751F" w14:paraId="44099568" w14:textId="77777777" w:rsidTr="004046F0">
        <w:trPr>
          <w:trHeight w:val="315"/>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DF8C4" w14:textId="77777777" w:rsidR="00EE33A3" w:rsidRPr="00AD751F" w:rsidRDefault="00EE33A3" w:rsidP="004046F0">
            <w:pPr>
              <w:pStyle w:val="NoParagraphStyle"/>
              <w:suppressAutoHyphens/>
              <w:jc w:val="both"/>
              <w:rPr>
                <w:rFonts w:ascii="Arial" w:hAnsi="Arial" w:cs="Arial"/>
                <w:b/>
                <w:bCs/>
                <w:lang w:val="en-AU"/>
              </w:rPr>
            </w:pPr>
            <w:r w:rsidRPr="00AD751F">
              <w:rPr>
                <w:rFonts w:ascii="Arial" w:hAnsi="Arial" w:cs="Arial"/>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477D5B9B" w14:textId="77777777" w:rsidR="00EE33A3" w:rsidRPr="00AD751F" w:rsidRDefault="00EE33A3" w:rsidP="004046F0">
            <w:pPr>
              <w:pStyle w:val="NoParagraphStyle"/>
              <w:suppressAutoHyphens/>
              <w:jc w:val="both"/>
              <w:rPr>
                <w:rFonts w:ascii="Arial" w:hAnsi="Arial" w:cs="Arial"/>
                <w:b/>
                <w:bCs/>
                <w:lang w:val="en-AU"/>
              </w:rPr>
            </w:pPr>
            <w:r w:rsidRPr="00AD751F">
              <w:rPr>
                <w:rFonts w:ascii="Arial" w:hAnsi="Arial" w:cs="Arial"/>
                <w:b/>
                <w:bCs/>
              </w:rPr>
              <w:t>Total New Claims</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2F30326F" w14:textId="77777777" w:rsidR="00EE33A3" w:rsidRPr="00AD751F" w:rsidRDefault="00EE33A3" w:rsidP="004046F0">
            <w:pPr>
              <w:pStyle w:val="NoParagraphStyle"/>
              <w:suppressAutoHyphens/>
              <w:jc w:val="both"/>
              <w:rPr>
                <w:rFonts w:ascii="Arial" w:hAnsi="Arial" w:cs="Arial"/>
                <w:b/>
                <w:bCs/>
                <w:lang w:val="en-AU"/>
              </w:rPr>
            </w:pPr>
            <w:r w:rsidRPr="00AD751F">
              <w:rPr>
                <w:rFonts w:ascii="Arial" w:hAnsi="Arial" w:cs="Arial"/>
                <w:b/>
                <w:bCs/>
              </w:rPr>
              <w:t>Total Payments</w:t>
            </w:r>
          </w:p>
        </w:tc>
        <w:tc>
          <w:tcPr>
            <w:tcW w:w="1687" w:type="dxa"/>
            <w:tcBorders>
              <w:top w:val="single" w:sz="4" w:space="0" w:color="auto"/>
              <w:left w:val="nil"/>
              <w:bottom w:val="single" w:sz="4" w:space="0" w:color="auto"/>
              <w:right w:val="single" w:sz="4" w:space="0" w:color="auto"/>
            </w:tcBorders>
            <w:vAlign w:val="bottom"/>
          </w:tcPr>
          <w:p w14:paraId="670BA018" w14:textId="77777777" w:rsidR="00EE33A3" w:rsidRPr="00AD751F" w:rsidRDefault="00EE33A3" w:rsidP="004046F0">
            <w:pPr>
              <w:pStyle w:val="NoParagraphStyle"/>
              <w:suppressAutoHyphens/>
              <w:jc w:val="both"/>
              <w:rPr>
                <w:rFonts w:ascii="Arial" w:hAnsi="Arial" w:cs="Arial"/>
                <w:b/>
                <w:bCs/>
                <w:lang w:val="en-AU"/>
              </w:rPr>
            </w:pPr>
            <w:r w:rsidRPr="00AD751F">
              <w:rPr>
                <w:rFonts w:ascii="Arial" w:hAnsi="Arial" w:cs="Arial"/>
                <w:b/>
                <w:bCs/>
              </w:rPr>
              <w:t>Total Estimates</w:t>
            </w:r>
          </w:p>
        </w:tc>
      </w:tr>
      <w:tr w:rsidR="00EE33A3" w:rsidRPr="00AD751F" w14:paraId="0D3995D7"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EB584B5"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Total - WA Regions</w:t>
            </w:r>
          </w:p>
        </w:tc>
        <w:tc>
          <w:tcPr>
            <w:tcW w:w="1640" w:type="dxa"/>
            <w:tcBorders>
              <w:top w:val="nil"/>
              <w:left w:val="nil"/>
              <w:bottom w:val="single" w:sz="4" w:space="0" w:color="auto"/>
              <w:right w:val="single" w:sz="4" w:space="0" w:color="auto"/>
            </w:tcBorders>
            <w:shd w:val="clear" w:color="auto" w:fill="auto"/>
            <w:noWrap/>
            <w:vAlign w:val="bottom"/>
            <w:hideMark/>
          </w:tcPr>
          <w:p w14:paraId="54B0E9FF"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11,818</w:t>
            </w:r>
          </w:p>
        </w:tc>
        <w:tc>
          <w:tcPr>
            <w:tcW w:w="2100" w:type="dxa"/>
            <w:tcBorders>
              <w:top w:val="nil"/>
              <w:left w:val="nil"/>
              <w:bottom w:val="single" w:sz="4" w:space="0" w:color="auto"/>
              <w:right w:val="single" w:sz="4" w:space="0" w:color="auto"/>
            </w:tcBorders>
            <w:shd w:val="clear" w:color="auto" w:fill="auto"/>
            <w:noWrap/>
            <w:vAlign w:val="bottom"/>
            <w:hideMark/>
          </w:tcPr>
          <w:p w14:paraId="220DB81A"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$391.5m</w:t>
            </w:r>
          </w:p>
        </w:tc>
        <w:tc>
          <w:tcPr>
            <w:tcW w:w="1687" w:type="dxa"/>
            <w:tcBorders>
              <w:top w:val="nil"/>
              <w:left w:val="nil"/>
              <w:bottom w:val="single" w:sz="4" w:space="0" w:color="auto"/>
              <w:right w:val="single" w:sz="4" w:space="0" w:color="auto"/>
            </w:tcBorders>
            <w:vAlign w:val="bottom"/>
          </w:tcPr>
          <w:p w14:paraId="035C7678"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$2.4b</w:t>
            </w:r>
          </w:p>
        </w:tc>
      </w:tr>
      <w:tr w:rsidR="00EE33A3" w:rsidRPr="00AD751F" w14:paraId="46C22E81"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5360E14"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Great Southern</w:t>
            </w:r>
          </w:p>
        </w:tc>
        <w:tc>
          <w:tcPr>
            <w:tcW w:w="1640" w:type="dxa"/>
            <w:tcBorders>
              <w:top w:val="nil"/>
              <w:left w:val="nil"/>
              <w:bottom w:val="single" w:sz="4" w:space="0" w:color="auto"/>
              <w:right w:val="single" w:sz="4" w:space="0" w:color="auto"/>
            </w:tcBorders>
            <w:shd w:val="clear" w:color="auto" w:fill="auto"/>
            <w:noWrap/>
            <w:vAlign w:val="bottom"/>
            <w:hideMark/>
          </w:tcPr>
          <w:p w14:paraId="35C6FF37"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236</w:t>
            </w:r>
          </w:p>
        </w:tc>
        <w:tc>
          <w:tcPr>
            <w:tcW w:w="2100" w:type="dxa"/>
            <w:tcBorders>
              <w:top w:val="nil"/>
              <w:left w:val="nil"/>
              <w:bottom w:val="single" w:sz="4" w:space="0" w:color="auto"/>
              <w:right w:val="single" w:sz="4" w:space="0" w:color="auto"/>
            </w:tcBorders>
            <w:shd w:val="clear" w:color="auto" w:fill="auto"/>
            <w:noWrap/>
            <w:vAlign w:val="bottom"/>
            <w:hideMark/>
          </w:tcPr>
          <w:p w14:paraId="2E39B4D4"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$7.4m </w:t>
            </w:r>
          </w:p>
        </w:tc>
        <w:tc>
          <w:tcPr>
            <w:tcW w:w="1687" w:type="dxa"/>
            <w:tcBorders>
              <w:top w:val="nil"/>
              <w:left w:val="nil"/>
              <w:bottom w:val="single" w:sz="4" w:space="0" w:color="auto"/>
              <w:right w:val="single" w:sz="4" w:space="0" w:color="auto"/>
            </w:tcBorders>
            <w:vAlign w:val="bottom"/>
          </w:tcPr>
          <w:p w14:paraId="76DAE64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$83.7m </w:t>
            </w:r>
          </w:p>
        </w:tc>
      </w:tr>
      <w:tr w:rsidR="00EE33A3" w:rsidRPr="00AD751F" w14:paraId="1210FC07"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27EE18F"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South West</w:t>
            </w:r>
          </w:p>
        </w:tc>
        <w:tc>
          <w:tcPr>
            <w:tcW w:w="1640" w:type="dxa"/>
            <w:tcBorders>
              <w:top w:val="nil"/>
              <w:left w:val="nil"/>
              <w:bottom w:val="single" w:sz="4" w:space="0" w:color="auto"/>
              <w:right w:val="single" w:sz="4" w:space="0" w:color="auto"/>
            </w:tcBorders>
            <w:shd w:val="clear" w:color="auto" w:fill="auto"/>
            <w:noWrap/>
            <w:vAlign w:val="bottom"/>
            <w:hideMark/>
          </w:tcPr>
          <w:p w14:paraId="789FE47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1,118</w:t>
            </w:r>
          </w:p>
        </w:tc>
        <w:tc>
          <w:tcPr>
            <w:tcW w:w="2100" w:type="dxa"/>
            <w:tcBorders>
              <w:top w:val="nil"/>
              <w:left w:val="nil"/>
              <w:bottom w:val="single" w:sz="4" w:space="0" w:color="auto"/>
              <w:right w:val="single" w:sz="4" w:space="0" w:color="auto"/>
            </w:tcBorders>
            <w:shd w:val="clear" w:color="auto" w:fill="auto"/>
            <w:noWrap/>
            <w:vAlign w:val="bottom"/>
            <w:hideMark/>
          </w:tcPr>
          <w:p w14:paraId="290DA2CC"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$30.4m </w:t>
            </w:r>
          </w:p>
        </w:tc>
        <w:tc>
          <w:tcPr>
            <w:tcW w:w="1687" w:type="dxa"/>
            <w:tcBorders>
              <w:top w:val="nil"/>
              <w:left w:val="nil"/>
              <w:bottom w:val="single" w:sz="4" w:space="0" w:color="auto"/>
              <w:right w:val="single" w:sz="4" w:space="0" w:color="auto"/>
            </w:tcBorders>
            <w:vAlign w:val="bottom"/>
          </w:tcPr>
          <w:p w14:paraId="0B2B2AA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$258.6m </w:t>
            </w:r>
          </w:p>
        </w:tc>
      </w:tr>
      <w:tr w:rsidR="00EE33A3" w:rsidRPr="00AD751F" w14:paraId="65A014C0"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0A14F77"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Goldfields-Esperance</w:t>
            </w:r>
          </w:p>
        </w:tc>
        <w:tc>
          <w:tcPr>
            <w:tcW w:w="1640" w:type="dxa"/>
            <w:tcBorders>
              <w:top w:val="nil"/>
              <w:left w:val="nil"/>
              <w:bottom w:val="single" w:sz="4" w:space="0" w:color="auto"/>
              <w:right w:val="single" w:sz="4" w:space="0" w:color="auto"/>
            </w:tcBorders>
            <w:shd w:val="clear" w:color="auto" w:fill="auto"/>
            <w:noWrap/>
            <w:vAlign w:val="bottom"/>
            <w:hideMark/>
          </w:tcPr>
          <w:p w14:paraId="3772678A"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168</w:t>
            </w:r>
          </w:p>
        </w:tc>
        <w:tc>
          <w:tcPr>
            <w:tcW w:w="2100" w:type="dxa"/>
            <w:tcBorders>
              <w:top w:val="nil"/>
              <w:left w:val="nil"/>
              <w:bottom w:val="single" w:sz="4" w:space="0" w:color="auto"/>
              <w:right w:val="single" w:sz="4" w:space="0" w:color="auto"/>
            </w:tcBorders>
            <w:shd w:val="clear" w:color="auto" w:fill="auto"/>
            <w:noWrap/>
            <w:vAlign w:val="bottom"/>
            <w:hideMark/>
          </w:tcPr>
          <w:p w14:paraId="3AFAF4C5"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$6.5m </w:t>
            </w:r>
          </w:p>
        </w:tc>
        <w:tc>
          <w:tcPr>
            <w:tcW w:w="1687" w:type="dxa"/>
            <w:tcBorders>
              <w:top w:val="nil"/>
              <w:left w:val="nil"/>
              <w:bottom w:val="single" w:sz="4" w:space="0" w:color="auto"/>
              <w:right w:val="single" w:sz="4" w:space="0" w:color="auto"/>
            </w:tcBorders>
            <w:vAlign w:val="bottom"/>
          </w:tcPr>
          <w:p w14:paraId="488D0906"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$66.6m</w:t>
            </w:r>
          </w:p>
        </w:tc>
      </w:tr>
      <w:tr w:rsidR="00EE33A3" w:rsidRPr="00AD751F" w14:paraId="087928FD"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9490754"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Kimberley</w:t>
            </w:r>
          </w:p>
        </w:tc>
        <w:tc>
          <w:tcPr>
            <w:tcW w:w="1640" w:type="dxa"/>
            <w:tcBorders>
              <w:top w:val="nil"/>
              <w:left w:val="nil"/>
              <w:bottom w:val="single" w:sz="4" w:space="0" w:color="auto"/>
              <w:right w:val="single" w:sz="4" w:space="0" w:color="auto"/>
            </w:tcBorders>
            <w:shd w:val="clear" w:color="auto" w:fill="auto"/>
            <w:noWrap/>
            <w:vAlign w:val="bottom"/>
            <w:hideMark/>
          </w:tcPr>
          <w:p w14:paraId="11AB0BD8"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93</w:t>
            </w:r>
          </w:p>
        </w:tc>
        <w:tc>
          <w:tcPr>
            <w:tcW w:w="2100" w:type="dxa"/>
            <w:tcBorders>
              <w:top w:val="nil"/>
              <w:left w:val="nil"/>
              <w:bottom w:val="single" w:sz="4" w:space="0" w:color="auto"/>
              <w:right w:val="single" w:sz="4" w:space="0" w:color="auto"/>
            </w:tcBorders>
            <w:shd w:val="clear" w:color="auto" w:fill="auto"/>
            <w:noWrap/>
            <w:vAlign w:val="bottom"/>
            <w:hideMark/>
          </w:tcPr>
          <w:p w14:paraId="69F20747"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$13.4m </w:t>
            </w:r>
          </w:p>
        </w:tc>
        <w:tc>
          <w:tcPr>
            <w:tcW w:w="1687" w:type="dxa"/>
            <w:tcBorders>
              <w:top w:val="nil"/>
              <w:left w:val="nil"/>
              <w:bottom w:val="single" w:sz="4" w:space="0" w:color="auto"/>
              <w:right w:val="single" w:sz="4" w:space="0" w:color="auto"/>
            </w:tcBorders>
            <w:vAlign w:val="bottom"/>
          </w:tcPr>
          <w:p w14:paraId="050E1646"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$113.8m </w:t>
            </w:r>
          </w:p>
        </w:tc>
      </w:tr>
      <w:tr w:rsidR="00EE33A3" w:rsidRPr="00AD751F" w14:paraId="2622FC0D"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B26362C"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Metropolitan</w:t>
            </w:r>
          </w:p>
        </w:tc>
        <w:tc>
          <w:tcPr>
            <w:tcW w:w="1640" w:type="dxa"/>
            <w:tcBorders>
              <w:top w:val="nil"/>
              <w:left w:val="nil"/>
              <w:bottom w:val="single" w:sz="4" w:space="0" w:color="auto"/>
              <w:right w:val="single" w:sz="4" w:space="0" w:color="auto"/>
            </w:tcBorders>
            <w:shd w:val="clear" w:color="auto" w:fill="auto"/>
            <w:noWrap/>
            <w:vAlign w:val="bottom"/>
            <w:hideMark/>
          </w:tcPr>
          <w:p w14:paraId="73F8FBAA"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9,337</w:t>
            </w:r>
          </w:p>
        </w:tc>
        <w:tc>
          <w:tcPr>
            <w:tcW w:w="2100" w:type="dxa"/>
            <w:tcBorders>
              <w:top w:val="nil"/>
              <w:left w:val="nil"/>
              <w:bottom w:val="single" w:sz="4" w:space="0" w:color="auto"/>
              <w:right w:val="single" w:sz="4" w:space="0" w:color="auto"/>
            </w:tcBorders>
            <w:shd w:val="clear" w:color="auto" w:fill="auto"/>
            <w:noWrap/>
            <w:vAlign w:val="bottom"/>
            <w:hideMark/>
          </w:tcPr>
          <w:p w14:paraId="31DBA61D"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$293.5m </w:t>
            </w:r>
          </w:p>
        </w:tc>
        <w:tc>
          <w:tcPr>
            <w:tcW w:w="1687" w:type="dxa"/>
            <w:tcBorders>
              <w:top w:val="nil"/>
              <w:left w:val="nil"/>
              <w:bottom w:val="single" w:sz="4" w:space="0" w:color="auto"/>
              <w:right w:val="single" w:sz="4" w:space="0" w:color="auto"/>
            </w:tcBorders>
            <w:vAlign w:val="bottom"/>
          </w:tcPr>
          <w:p w14:paraId="52807C07"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$1.4b </w:t>
            </w:r>
          </w:p>
        </w:tc>
      </w:tr>
      <w:tr w:rsidR="00EE33A3" w:rsidRPr="00AD751F" w14:paraId="71DA08A9"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72C3A98" w14:textId="77777777" w:rsidR="00EE33A3" w:rsidRPr="00AD751F" w:rsidRDefault="00EE33A3" w:rsidP="004046F0">
            <w:pPr>
              <w:pStyle w:val="NoParagraphStyle"/>
              <w:suppressAutoHyphens/>
              <w:jc w:val="both"/>
              <w:rPr>
                <w:rFonts w:ascii="Arial" w:hAnsi="Arial" w:cs="Arial"/>
                <w:lang w:val="en-AU"/>
              </w:rPr>
            </w:pPr>
            <w:proofErr w:type="spellStart"/>
            <w:r w:rsidRPr="00AD751F">
              <w:rPr>
                <w:rFonts w:ascii="Arial" w:hAnsi="Arial" w:cs="Arial"/>
              </w:rPr>
              <w:t>Wheatbelt</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66D091B6"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461</w:t>
            </w:r>
          </w:p>
        </w:tc>
        <w:tc>
          <w:tcPr>
            <w:tcW w:w="2100" w:type="dxa"/>
            <w:tcBorders>
              <w:top w:val="nil"/>
              <w:left w:val="nil"/>
              <w:bottom w:val="single" w:sz="4" w:space="0" w:color="auto"/>
              <w:right w:val="single" w:sz="4" w:space="0" w:color="auto"/>
            </w:tcBorders>
            <w:shd w:val="clear" w:color="auto" w:fill="auto"/>
            <w:noWrap/>
            <w:vAlign w:val="bottom"/>
            <w:hideMark/>
          </w:tcPr>
          <w:p w14:paraId="6A72F1AB"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$17.6m </w:t>
            </w:r>
          </w:p>
        </w:tc>
        <w:tc>
          <w:tcPr>
            <w:tcW w:w="1687" w:type="dxa"/>
            <w:tcBorders>
              <w:top w:val="nil"/>
              <w:left w:val="nil"/>
              <w:bottom w:val="single" w:sz="4" w:space="0" w:color="auto"/>
              <w:right w:val="single" w:sz="4" w:space="0" w:color="auto"/>
            </w:tcBorders>
            <w:vAlign w:val="bottom"/>
          </w:tcPr>
          <w:p w14:paraId="56AE254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$208.8m </w:t>
            </w:r>
          </w:p>
        </w:tc>
      </w:tr>
      <w:tr w:rsidR="00EE33A3" w:rsidRPr="00AD751F" w14:paraId="6CB9F4F8"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48B27BD"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Pilbara</w:t>
            </w:r>
          </w:p>
        </w:tc>
        <w:tc>
          <w:tcPr>
            <w:tcW w:w="1640" w:type="dxa"/>
            <w:tcBorders>
              <w:top w:val="nil"/>
              <w:left w:val="nil"/>
              <w:bottom w:val="single" w:sz="4" w:space="0" w:color="auto"/>
              <w:right w:val="single" w:sz="4" w:space="0" w:color="auto"/>
            </w:tcBorders>
            <w:shd w:val="clear" w:color="auto" w:fill="auto"/>
            <w:noWrap/>
            <w:vAlign w:val="bottom"/>
            <w:hideMark/>
          </w:tcPr>
          <w:p w14:paraId="798070AC"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124</w:t>
            </w:r>
          </w:p>
        </w:tc>
        <w:tc>
          <w:tcPr>
            <w:tcW w:w="2100" w:type="dxa"/>
            <w:tcBorders>
              <w:top w:val="nil"/>
              <w:left w:val="nil"/>
              <w:bottom w:val="single" w:sz="4" w:space="0" w:color="auto"/>
              <w:right w:val="single" w:sz="4" w:space="0" w:color="auto"/>
            </w:tcBorders>
            <w:shd w:val="clear" w:color="auto" w:fill="auto"/>
            <w:noWrap/>
            <w:vAlign w:val="bottom"/>
            <w:hideMark/>
          </w:tcPr>
          <w:p w14:paraId="4F6F6FB8"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$9.7m </w:t>
            </w:r>
          </w:p>
        </w:tc>
        <w:tc>
          <w:tcPr>
            <w:tcW w:w="1687" w:type="dxa"/>
            <w:tcBorders>
              <w:top w:val="nil"/>
              <w:left w:val="nil"/>
              <w:bottom w:val="single" w:sz="4" w:space="0" w:color="auto"/>
              <w:right w:val="single" w:sz="4" w:space="0" w:color="auto"/>
            </w:tcBorders>
            <w:vAlign w:val="bottom"/>
          </w:tcPr>
          <w:p w14:paraId="011DBBCA"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$86.8m </w:t>
            </w:r>
          </w:p>
        </w:tc>
      </w:tr>
      <w:tr w:rsidR="00EE33A3" w:rsidRPr="00AD751F" w14:paraId="7C6177BB"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4F7BDF7"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Mid West-Gascoyne</w:t>
            </w:r>
          </w:p>
        </w:tc>
        <w:tc>
          <w:tcPr>
            <w:tcW w:w="1640" w:type="dxa"/>
            <w:tcBorders>
              <w:top w:val="nil"/>
              <w:left w:val="nil"/>
              <w:bottom w:val="single" w:sz="4" w:space="0" w:color="auto"/>
              <w:right w:val="single" w:sz="4" w:space="0" w:color="auto"/>
            </w:tcBorders>
            <w:shd w:val="clear" w:color="auto" w:fill="auto"/>
            <w:noWrap/>
            <w:vAlign w:val="bottom"/>
            <w:hideMark/>
          </w:tcPr>
          <w:p w14:paraId="1F3F7317"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194</w:t>
            </w:r>
          </w:p>
        </w:tc>
        <w:tc>
          <w:tcPr>
            <w:tcW w:w="2100" w:type="dxa"/>
            <w:tcBorders>
              <w:top w:val="nil"/>
              <w:left w:val="nil"/>
              <w:bottom w:val="single" w:sz="4" w:space="0" w:color="auto"/>
              <w:right w:val="single" w:sz="4" w:space="0" w:color="auto"/>
            </w:tcBorders>
            <w:shd w:val="clear" w:color="auto" w:fill="auto"/>
            <w:noWrap/>
            <w:vAlign w:val="bottom"/>
            <w:hideMark/>
          </w:tcPr>
          <w:p w14:paraId="602F0256"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$6.7m </w:t>
            </w:r>
          </w:p>
        </w:tc>
        <w:tc>
          <w:tcPr>
            <w:tcW w:w="1687" w:type="dxa"/>
            <w:tcBorders>
              <w:top w:val="nil"/>
              <w:left w:val="nil"/>
              <w:bottom w:val="single" w:sz="4" w:space="0" w:color="auto"/>
              <w:right w:val="single" w:sz="4" w:space="0" w:color="auto"/>
            </w:tcBorders>
            <w:vAlign w:val="bottom"/>
          </w:tcPr>
          <w:p w14:paraId="067973F0"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$83m </w:t>
            </w:r>
          </w:p>
        </w:tc>
      </w:tr>
      <w:tr w:rsidR="00EE33A3" w:rsidRPr="00AD751F" w14:paraId="6A4442C0"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423B2DF4"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Interstate </w:t>
            </w:r>
          </w:p>
        </w:tc>
        <w:tc>
          <w:tcPr>
            <w:tcW w:w="1640" w:type="dxa"/>
            <w:tcBorders>
              <w:top w:val="nil"/>
              <w:left w:val="nil"/>
              <w:bottom w:val="single" w:sz="4" w:space="0" w:color="auto"/>
              <w:right w:val="single" w:sz="4" w:space="0" w:color="auto"/>
            </w:tcBorders>
            <w:shd w:val="clear" w:color="auto" w:fill="auto"/>
            <w:noWrap/>
            <w:vAlign w:val="bottom"/>
          </w:tcPr>
          <w:p w14:paraId="735ECE91"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87</w:t>
            </w:r>
          </w:p>
        </w:tc>
        <w:tc>
          <w:tcPr>
            <w:tcW w:w="2100" w:type="dxa"/>
            <w:tcBorders>
              <w:top w:val="nil"/>
              <w:left w:val="nil"/>
              <w:bottom w:val="single" w:sz="4" w:space="0" w:color="auto"/>
              <w:right w:val="single" w:sz="4" w:space="0" w:color="auto"/>
            </w:tcBorders>
            <w:shd w:val="clear" w:color="auto" w:fill="auto"/>
            <w:noWrap/>
            <w:vAlign w:val="bottom"/>
          </w:tcPr>
          <w:p w14:paraId="17278438"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$6.3m </w:t>
            </w:r>
          </w:p>
        </w:tc>
        <w:tc>
          <w:tcPr>
            <w:tcW w:w="1687" w:type="dxa"/>
            <w:tcBorders>
              <w:top w:val="nil"/>
              <w:left w:val="nil"/>
              <w:bottom w:val="single" w:sz="4" w:space="0" w:color="auto"/>
              <w:right w:val="single" w:sz="4" w:space="0" w:color="auto"/>
            </w:tcBorders>
            <w:vAlign w:val="bottom"/>
          </w:tcPr>
          <w:p w14:paraId="62080F6A"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 xml:space="preserve"> $50.6m </w:t>
            </w:r>
          </w:p>
        </w:tc>
      </w:tr>
    </w:tbl>
    <w:p w14:paraId="57C1B982" w14:textId="77777777" w:rsidR="00EE33A3" w:rsidRPr="00AD751F" w:rsidRDefault="00EE33A3" w:rsidP="00EE33A3">
      <w:pPr>
        <w:pStyle w:val="NoParagraphStyle"/>
        <w:suppressAutoHyphens/>
        <w:rPr>
          <w:rFonts w:ascii="Arial" w:hAnsi="Arial" w:cs="Arial"/>
          <w:lang w:val="en-US"/>
        </w:rPr>
      </w:pPr>
    </w:p>
    <w:tbl>
      <w:tblPr>
        <w:tblW w:w="8947" w:type="dxa"/>
        <w:tblInd w:w="113" w:type="dxa"/>
        <w:tblLook w:val="04A0" w:firstRow="1" w:lastRow="0" w:firstColumn="1" w:lastColumn="0" w:noHBand="0" w:noVBand="1"/>
      </w:tblPr>
      <w:tblGrid>
        <w:gridCol w:w="3520"/>
        <w:gridCol w:w="1640"/>
        <w:gridCol w:w="2100"/>
        <w:gridCol w:w="1687"/>
      </w:tblGrid>
      <w:tr w:rsidR="00EE33A3" w:rsidRPr="00AD751F" w14:paraId="7E2F6003" w14:textId="77777777" w:rsidTr="004046F0">
        <w:trPr>
          <w:trHeight w:val="315"/>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906F" w14:textId="77777777" w:rsidR="00EE33A3" w:rsidRPr="00AD751F" w:rsidRDefault="00EE33A3" w:rsidP="004046F0">
            <w:pPr>
              <w:pStyle w:val="NoParagraphStyle"/>
              <w:suppressAutoHyphens/>
              <w:jc w:val="both"/>
              <w:rPr>
                <w:rFonts w:ascii="Arial" w:hAnsi="Arial" w:cs="Arial"/>
                <w:b/>
                <w:bCs/>
                <w:lang w:val="en-AU"/>
              </w:rPr>
            </w:pPr>
            <w:r w:rsidRPr="00AD751F">
              <w:rPr>
                <w:rFonts w:ascii="Arial" w:hAnsi="Arial" w:cs="Arial"/>
                <w:b/>
                <w:bCs/>
                <w:lang w:val="en-AU"/>
              </w:rPr>
              <w:t>Top Local Government Areas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370FD4DB" w14:textId="77777777" w:rsidR="00EE33A3" w:rsidRPr="00AD751F" w:rsidRDefault="00EE33A3" w:rsidP="004046F0">
            <w:pPr>
              <w:pStyle w:val="NoParagraphStyle"/>
              <w:suppressAutoHyphens/>
              <w:jc w:val="both"/>
              <w:rPr>
                <w:rFonts w:ascii="Arial" w:hAnsi="Arial" w:cs="Arial"/>
                <w:b/>
                <w:bCs/>
                <w:lang w:val="en-AU"/>
              </w:rPr>
            </w:pPr>
            <w:r w:rsidRPr="00AD751F">
              <w:rPr>
                <w:rFonts w:ascii="Arial" w:hAnsi="Arial" w:cs="Arial"/>
                <w:b/>
                <w:bCs/>
                <w:lang w:val="en-AU"/>
              </w:rPr>
              <w:t xml:space="preserve"> New Claims </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7565A9ED" w14:textId="77777777" w:rsidR="00EE33A3" w:rsidRPr="00AD751F" w:rsidRDefault="00EE33A3" w:rsidP="004046F0">
            <w:pPr>
              <w:pStyle w:val="NoParagraphStyle"/>
              <w:suppressAutoHyphens/>
              <w:jc w:val="both"/>
              <w:rPr>
                <w:rFonts w:ascii="Arial" w:hAnsi="Arial" w:cs="Arial"/>
                <w:b/>
                <w:bCs/>
                <w:lang w:val="en-AU"/>
              </w:rPr>
            </w:pPr>
            <w:r w:rsidRPr="00AD751F">
              <w:rPr>
                <w:rFonts w:ascii="Arial" w:hAnsi="Arial" w:cs="Arial"/>
                <w:b/>
                <w:bCs/>
                <w:lang w:val="en-AU"/>
              </w:rPr>
              <w:t xml:space="preserve"> Total Payments </w:t>
            </w:r>
          </w:p>
        </w:tc>
        <w:tc>
          <w:tcPr>
            <w:tcW w:w="1687" w:type="dxa"/>
            <w:tcBorders>
              <w:top w:val="single" w:sz="4" w:space="0" w:color="auto"/>
              <w:left w:val="nil"/>
              <w:bottom w:val="single" w:sz="4" w:space="0" w:color="auto"/>
              <w:right w:val="single" w:sz="4" w:space="0" w:color="auto"/>
            </w:tcBorders>
          </w:tcPr>
          <w:p w14:paraId="5834D72B" w14:textId="77777777" w:rsidR="00EE33A3" w:rsidRPr="00AD751F" w:rsidRDefault="00EE33A3" w:rsidP="004046F0">
            <w:pPr>
              <w:pStyle w:val="NoParagraphStyle"/>
              <w:suppressAutoHyphens/>
              <w:jc w:val="both"/>
              <w:rPr>
                <w:rFonts w:ascii="Arial" w:hAnsi="Arial" w:cs="Arial"/>
                <w:b/>
                <w:bCs/>
                <w:lang w:val="en-AU"/>
              </w:rPr>
            </w:pPr>
            <w:r w:rsidRPr="00AD751F">
              <w:rPr>
                <w:rFonts w:ascii="Arial" w:hAnsi="Arial" w:cs="Arial"/>
                <w:b/>
                <w:bCs/>
                <w:lang w:val="en-AU"/>
              </w:rPr>
              <w:t>Total Estimates</w:t>
            </w:r>
          </w:p>
        </w:tc>
      </w:tr>
      <w:tr w:rsidR="00EE33A3" w:rsidRPr="00AD751F" w14:paraId="349C682F"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A8359A8"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Stirling</w:t>
            </w:r>
          </w:p>
        </w:tc>
        <w:tc>
          <w:tcPr>
            <w:tcW w:w="1640" w:type="dxa"/>
            <w:tcBorders>
              <w:top w:val="nil"/>
              <w:left w:val="nil"/>
              <w:bottom w:val="single" w:sz="4" w:space="0" w:color="auto"/>
              <w:right w:val="single" w:sz="4" w:space="0" w:color="auto"/>
            </w:tcBorders>
            <w:shd w:val="clear" w:color="auto" w:fill="auto"/>
            <w:noWrap/>
            <w:vAlign w:val="bottom"/>
            <w:hideMark/>
          </w:tcPr>
          <w:p w14:paraId="1C138AE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1,307</w:t>
            </w:r>
          </w:p>
        </w:tc>
        <w:tc>
          <w:tcPr>
            <w:tcW w:w="2100" w:type="dxa"/>
            <w:tcBorders>
              <w:top w:val="nil"/>
              <w:left w:val="nil"/>
              <w:bottom w:val="single" w:sz="4" w:space="0" w:color="auto"/>
              <w:right w:val="single" w:sz="4" w:space="0" w:color="auto"/>
            </w:tcBorders>
            <w:shd w:val="clear" w:color="auto" w:fill="auto"/>
            <w:noWrap/>
            <w:vAlign w:val="bottom"/>
            <w:hideMark/>
          </w:tcPr>
          <w:p w14:paraId="34C57A8B"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$44.8m</w:t>
            </w:r>
          </w:p>
        </w:tc>
        <w:tc>
          <w:tcPr>
            <w:tcW w:w="1687" w:type="dxa"/>
            <w:tcBorders>
              <w:top w:val="nil"/>
              <w:left w:val="nil"/>
              <w:bottom w:val="single" w:sz="4" w:space="0" w:color="auto"/>
              <w:right w:val="single" w:sz="4" w:space="0" w:color="auto"/>
            </w:tcBorders>
            <w:vAlign w:val="bottom"/>
          </w:tcPr>
          <w:p w14:paraId="16FAF52C"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$139m</w:t>
            </w:r>
          </w:p>
        </w:tc>
      </w:tr>
      <w:tr w:rsidR="00EE33A3" w:rsidRPr="00AD751F" w14:paraId="5A7C8385"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F55ACB0"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Swan</w:t>
            </w:r>
          </w:p>
        </w:tc>
        <w:tc>
          <w:tcPr>
            <w:tcW w:w="1640" w:type="dxa"/>
            <w:tcBorders>
              <w:top w:val="nil"/>
              <w:left w:val="nil"/>
              <w:bottom w:val="single" w:sz="4" w:space="0" w:color="auto"/>
              <w:right w:val="single" w:sz="4" w:space="0" w:color="auto"/>
            </w:tcBorders>
            <w:shd w:val="clear" w:color="auto" w:fill="auto"/>
            <w:noWrap/>
            <w:vAlign w:val="bottom"/>
            <w:hideMark/>
          </w:tcPr>
          <w:p w14:paraId="44CEBF11"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778</w:t>
            </w:r>
          </w:p>
        </w:tc>
        <w:tc>
          <w:tcPr>
            <w:tcW w:w="2100" w:type="dxa"/>
            <w:tcBorders>
              <w:top w:val="nil"/>
              <w:left w:val="nil"/>
              <w:bottom w:val="single" w:sz="4" w:space="0" w:color="auto"/>
              <w:right w:val="single" w:sz="4" w:space="0" w:color="auto"/>
            </w:tcBorders>
            <w:shd w:val="clear" w:color="auto" w:fill="auto"/>
            <w:noWrap/>
            <w:vAlign w:val="bottom"/>
            <w:hideMark/>
          </w:tcPr>
          <w:p w14:paraId="4A84D501"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$19.2m</w:t>
            </w:r>
          </w:p>
        </w:tc>
        <w:tc>
          <w:tcPr>
            <w:tcW w:w="1687" w:type="dxa"/>
            <w:tcBorders>
              <w:top w:val="nil"/>
              <w:left w:val="nil"/>
              <w:bottom w:val="single" w:sz="4" w:space="0" w:color="auto"/>
              <w:right w:val="single" w:sz="4" w:space="0" w:color="auto"/>
            </w:tcBorders>
            <w:vAlign w:val="bottom"/>
          </w:tcPr>
          <w:p w14:paraId="64EC5B6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$96.9m</w:t>
            </w:r>
          </w:p>
        </w:tc>
      </w:tr>
      <w:tr w:rsidR="00EE33A3" w:rsidRPr="00AD751F" w14:paraId="6EEF6452"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5CE691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Perth</w:t>
            </w:r>
          </w:p>
        </w:tc>
        <w:tc>
          <w:tcPr>
            <w:tcW w:w="1640" w:type="dxa"/>
            <w:tcBorders>
              <w:top w:val="nil"/>
              <w:left w:val="nil"/>
              <w:bottom w:val="single" w:sz="4" w:space="0" w:color="auto"/>
              <w:right w:val="single" w:sz="4" w:space="0" w:color="auto"/>
            </w:tcBorders>
            <w:shd w:val="clear" w:color="auto" w:fill="auto"/>
            <w:noWrap/>
            <w:vAlign w:val="bottom"/>
            <w:hideMark/>
          </w:tcPr>
          <w:p w14:paraId="0AA3A202"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553</w:t>
            </w:r>
          </w:p>
        </w:tc>
        <w:tc>
          <w:tcPr>
            <w:tcW w:w="2100" w:type="dxa"/>
            <w:tcBorders>
              <w:top w:val="nil"/>
              <w:left w:val="nil"/>
              <w:bottom w:val="single" w:sz="4" w:space="0" w:color="auto"/>
              <w:right w:val="single" w:sz="4" w:space="0" w:color="auto"/>
            </w:tcBorders>
            <w:shd w:val="clear" w:color="auto" w:fill="auto"/>
            <w:noWrap/>
            <w:vAlign w:val="bottom"/>
            <w:hideMark/>
          </w:tcPr>
          <w:p w14:paraId="428ACED0"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$14.2m</w:t>
            </w:r>
          </w:p>
        </w:tc>
        <w:tc>
          <w:tcPr>
            <w:tcW w:w="1687" w:type="dxa"/>
            <w:tcBorders>
              <w:top w:val="nil"/>
              <w:left w:val="nil"/>
              <w:bottom w:val="single" w:sz="4" w:space="0" w:color="auto"/>
              <w:right w:val="single" w:sz="4" w:space="0" w:color="auto"/>
            </w:tcBorders>
            <w:vAlign w:val="bottom"/>
          </w:tcPr>
          <w:p w14:paraId="622CE238"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$46.9m</w:t>
            </w:r>
          </w:p>
        </w:tc>
      </w:tr>
      <w:tr w:rsidR="00EE33A3" w:rsidRPr="00AD751F" w14:paraId="73A1DD66"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0E87FCB" w14:textId="77777777" w:rsidR="00EE33A3" w:rsidRPr="00AD751F" w:rsidRDefault="00EE33A3" w:rsidP="004046F0">
            <w:pPr>
              <w:pStyle w:val="NoParagraphStyle"/>
              <w:suppressAutoHyphens/>
              <w:jc w:val="both"/>
              <w:rPr>
                <w:rFonts w:ascii="Arial" w:hAnsi="Arial" w:cs="Arial"/>
                <w:lang w:val="en-AU"/>
              </w:rPr>
            </w:pPr>
            <w:proofErr w:type="spellStart"/>
            <w:r w:rsidRPr="00AD751F">
              <w:rPr>
                <w:rFonts w:ascii="Arial" w:hAnsi="Arial" w:cs="Arial"/>
              </w:rPr>
              <w:t>Wanneroo</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227B7F11"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619</w:t>
            </w:r>
          </w:p>
        </w:tc>
        <w:tc>
          <w:tcPr>
            <w:tcW w:w="2100" w:type="dxa"/>
            <w:tcBorders>
              <w:top w:val="nil"/>
              <w:left w:val="nil"/>
              <w:bottom w:val="single" w:sz="4" w:space="0" w:color="auto"/>
              <w:right w:val="single" w:sz="4" w:space="0" w:color="auto"/>
            </w:tcBorders>
            <w:shd w:val="clear" w:color="auto" w:fill="auto"/>
            <w:noWrap/>
            <w:vAlign w:val="bottom"/>
            <w:hideMark/>
          </w:tcPr>
          <w:p w14:paraId="76C66D70"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$17.9m</w:t>
            </w:r>
          </w:p>
        </w:tc>
        <w:tc>
          <w:tcPr>
            <w:tcW w:w="1687" w:type="dxa"/>
            <w:tcBorders>
              <w:top w:val="nil"/>
              <w:left w:val="nil"/>
              <w:bottom w:val="single" w:sz="4" w:space="0" w:color="auto"/>
              <w:right w:val="single" w:sz="4" w:space="0" w:color="auto"/>
            </w:tcBorders>
            <w:vAlign w:val="bottom"/>
          </w:tcPr>
          <w:p w14:paraId="35615FB8"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$153.3m</w:t>
            </w:r>
          </w:p>
        </w:tc>
      </w:tr>
      <w:tr w:rsidR="00EE33A3" w:rsidRPr="00AD751F" w14:paraId="335E3940"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3B77DCE" w14:textId="77777777" w:rsidR="00EE33A3" w:rsidRPr="00AD751F" w:rsidRDefault="00EE33A3" w:rsidP="004046F0">
            <w:pPr>
              <w:pStyle w:val="NoParagraphStyle"/>
              <w:suppressAutoHyphens/>
              <w:jc w:val="both"/>
              <w:rPr>
                <w:rFonts w:ascii="Arial" w:hAnsi="Arial" w:cs="Arial"/>
                <w:lang w:val="en-AU"/>
              </w:rPr>
            </w:pPr>
            <w:proofErr w:type="spellStart"/>
            <w:r w:rsidRPr="00AD751F">
              <w:rPr>
                <w:rFonts w:ascii="Arial" w:hAnsi="Arial" w:cs="Arial"/>
              </w:rPr>
              <w:t>Joondalup</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5162031A"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615</w:t>
            </w:r>
          </w:p>
        </w:tc>
        <w:tc>
          <w:tcPr>
            <w:tcW w:w="2100" w:type="dxa"/>
            <w:tcBorders>
              <w:top w:val="nil"/>
              <w:left w:val="nil"/>
              <w:bottom w:val="single" w:sz="4" w:space="0" w:color="auto"/>
              <w:right w:val="single" w:sz="4" w:space="0" w:color="auto"/>
            </w:tcBorders>
            <w:shd w:val="clear" w:color="auto" w:fill="auto"/>
            <w:noWrap/>
            <w:vAlign w:val="bottom"/>
            <w:hideMark/>
          </w:tcPr>
          <w:p w14:paraId="381DF049"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$13.3m</w:t>
            </w:r>
          </w:p>
        </w:tc>
        <w:tc>
          <w:tcPr>
            <w:tcW w:w="1687" w:type="dxa"/>
            <w:tcBorders>
              <w:top w:val="nil"/>
              <w:left w:val="nil"/>
              <w:bottom w:val="single" w:sz="4" w:space="0" w:color="auto"/>
              <w:right w:val="single" w:sz="4" w:space="0" w:color="auto"/>
            </w:tcBorders>
            <w:vAlign w:val="bottom"/>
          </w:tcPr>
          <w:p w14:paraId="6F97F350"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$73.7m</w:t>
            </w:r>
          </w:p>
        </w:tc>
      </w:tr>
      <w:tr w:rsidR="00EE33A3" w:rsidRPr="00AD751F" w14:paraId="3D42ACB6"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0C72963"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Canning</w:t>
            </w:r>
          </w:p>
        </w:tc>
        <w:tc>
          <w:tcPr>
            <w:tcW w:w="1640" w:type="dxa"/>
            <w:tcBorders>
              <w:top w:val="nil"/>
              <w:left w:val="nil"/>
              <w:bottom w:val="single" w:sz="4" w:space="0" w:color="auto"/>
              <w:right w:val="single" w:sz="4" w:space="0" w:color="auto"/>
            </w:tcBorders>
            <w:shd w:val="clear" w:color="auto" w:fill="auto"/>
            <w:noWrap/>
            <w:vAlign w:val="bottom"/>
            <w:hideMark/>
          </w:tcPr>
          <w:p w14:paraId="338B8C57"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592</w:t>
            </w:r>
          </w:p>
        </w:tc>
        <w:tc>
          <w:tcPr>
            <w:tcW w:w="2100" w:type="dxa"/>
            <w:tcBorders>
              <w:top w:val="nil"/>
              <w:left w:val="nil"/>
              <w:bottom w:val="single" w:sz="4" w:space="0" w:color="auto"/>
              <w:right w:val="single" w:sz="4" w:space="0" w:color="auto"/>
            </w:tcBorders>
            <w:shd w:val="clear" w:color="auto" w:fill="auto"/>
            <w:noWrap/>
            <w:vAlign w:val="bottom"/>
            <w:hideMark/>
          </w:tcPr>
          <w:p w14:paraId="0B93A320"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$13.5m</w:t>
            </w:r>
          </w:p>
        </w:tc>
        <w:tc>
          <w:tcPr>
            <w:tcW w:w="1687" w:type="dxa"/>
            <w:tcBorders>
              <w:top w:val="nil"/>
              <w:left w:val="nil"/>
              <w:bottom w:val="single" w:sz="4" w:space="0" w:color="auto"/>
              <w:right w:val="single" w:sz="4" w:space="0" w:color="auto"/>
            </w:tcBorders>
            <w:vAlign w:val="bottom"/>
          </w:tcPr>
          <w:p w14:paraId="39E5BAF9"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$59.7m</w:t>
            </w:r>
          </w:p>
        </w:tc>
      </w:tr>
      <w:tr w:rsidR="00EE33A3" w:rsidRPr="00AD751F" w14:paraId="0AFDBAD4"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1E89C2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Bayswater</w:t>
            </w:r>
          </w:p>
        </w:tc>
        <w:tc>
          <w:tcPr>
            <w:tcW w:w="1640" w:type="dxa"/>
            <w:tcBorders>
              <w:top w:val="nil"/>
              <w:left w:val="nil"/>
              <w:bottom w:val="single" w:sz="4" w:space="0" w:color="auto"/>
              <w:right w:val="single" w:sz="4" w:space="0" w:color="auto"/>
            </w:tcBorders>
            <w:shd w:val="clear" w:color="auto" w:fill="auto"/>
            <w:noWrap/>
            <w:vAlign w:val="bottom"/>
            <w:hideMark/>
          </w:tcPr>
          <w:p w14:paraId="13BC774A"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394</w:t>
            </w:r>
          </w:p>
        </w:tc>
        <w:tc>
          <w:tcPr>
            <w:tcW w:w="2100" w:type="dxa"/>
            <w:tcBorders>
              <w:top w:val="nil"/>
              <w:left w:val="nil"/>
              <w:bottom w:val="single" w:sz="4" w:space="0" w:color="auto"/>
              <w:right w:val="single" w:sz="4" w:space="0" w:color="auto"/>
            </w:tcBorders>
            <w:shd w:val="clear" w:color="auto" w:fill="auto"/>
            <w:noWrap/>
            <w:vAlign w:val="bottom"/>
            <w:hideMark/>
          </w:tcPr>
          <w:p w14:paraId="40391EE9"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$9.6m</w:t>
            </w:r>
          </w:p>
        </w:tc>
        <w:tc>
          <w:tcPr>
            <w:tcW w:w="1687" w:type="dxa"/>
            <w:tcBorders>
              <w:top w:val="nil"/>
              <w:left w:val="nil"/>
              <w:bottom w:val="single" w:sz="4" w:space="0" w:color="auto"/>
              <w:right w:val="single" w:sz="4" w:space="0" w:color="auto"/>
            </w:tcBorders>
            <w:vAlign w:val="bottom"/>
          </w:tcPr>
          <w:p w14:paraId="6A639FF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$49.7m</w:t>
            </w:r>
          </w:p>
        </w:tc>
      </w:tr>
      <w:tr w:rsidR="00EE33A3" w:rsidRPr="00AD751F" w14:paraId="1D2658BC"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2F50B8A"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Cockburn</w:t>
            </w:r>
          </w:p>
        </w:tc>
        <w:tc>
          <w:tcPr>
            <w:tcW w:w="1640" w:type="dxa"/>
            <w:tcBorders>
              <w:top w:val="nil"/>
              <w:left w:val="nil"/>
              <w:bottom w:val="single" w:sz="4" w:space="0" w:color="auto"/>
              <w:right w:val="single" w:sz="4" w:space="0" w:color="auto"/>
            </w:tcBorders>
            <w:shd w:val="clear" w:color="auto" w:fill="auto"/>
            <w:noWrap/>
            <w:vAlign w:val="bottom"/>
            <w:hideMark/>
          </w:tcPr>
          <w:p w14:paraId="4DC893A2"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575</w:t>
            </w:r>
          </w:p>
        </w:tc>
        <w:tc>
          <w:tcPr>
            <w:tcW w:w="2100" w:type="dxa"/>
            <w:tcBorders>
              <w:top w:val="nil"/>
              <w:left w:val="nil"/>
              <w:bottom w:val="single" w:sz="4" w:space="0" w:color="auto"/>
              <w:right w:val="single" w:sz="4" w:space="0" w:color="auto"/>
            </w:tcBorders>
            <w:shd w:val="clear" w:color="auto" w:fill="auto"/>
            <w:noWrap/>
            <w:vAlign w:val="bottom"/>
            <w:hideMark/>
          </w:tcPr>
          <w:p w14:paraId="22D49A46"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$27.5m</w:t>
            </w:r>
          </w:p>
        </w:tc>
        <w:tc>
          <w:tcPr>
            <w:tcW w:w="1687" w:type="dxa"/>
            <w:tcBorders>
              <w:top w:val="nil"/>
              <w:left w:val="nil"/>
              <w:bottom w:val="single" w:sz="4" w:space="0" w:color="auto"/>
              <w:right w:val="single" w:sz="4" w:space="0" w:color="auto"/>
            </w:tcBorders>
            <w:vAlign w:val="bottom"/>
          </w:tcPr>
          <w:p w14:paraId="512F42E6"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$97.4m</w:t>
            </w:r>
          </w:p>
        </w:tc>
      </w:tr>
      <w:tr w:rsidR="00EE33A3" w:rsidRPr="00AD751F" w14:paraId="33EE72EE"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326DC57" w14:textId="77777777" w:rsidR="00EE33A3" w:rsidRPr="00AD751F" w:rsidRDefault="00EE33A3" w:rsidP="004046F0">
            <w:pPr>
              <w:pStyle w:val="NoParagraphStyle"/>
              <w:suppressAutoHyphens/>
              <w:jc w:val="both"/>
              <w:rPr>
                <w:rFonts w:ascii="Arial" w:hAnsi="Arial" w:cs="Arial"/>
                <w:lang w:val="en-AU"/>
              </w:rPr>
            </w:pPr>
            <w:proofErr w:type="spellStart"/>
            <w:r w:rsidRPr="00AD751F">
              <w:rPr>
                <w:rFonts w:ascii="Arial" w:hAnsi="Arial" w:cs="Arial"/>
              </w:rPr>
              <w:t>Gosnells</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64DFF0B6"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382</w:t>
            </w:r>
          </w:p>
        </w:tc>
        <w:tc>
          <w:tcPr>
            <w:tcW w:w="2100" w:type="dxa"/>
            <w:tcBorders>
              <w:top w:val="nil"/>
              <w:left w:val="nil"/>
              <w:bottom w:val="single" w:sz="4" w:space="0" w:color="auto"/>
              <w:right w:val="single" w:sz="4" w:space="0" w:color="auto"/>
            </w:tcBorders>
            <w:shd w:val="clear" w:color="auto" w:fill="auto"/>
            <w:noWrap/>
            <w:vAlign w:val="bottom"/>
            <w:hideMark/>
          </w:tcPr>
          <w:p w14:paraId="7E2260A9"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$14.1m</w:t>
            </w:r>
          </w:p>
        </w:tc>
        <w:tc>
          <w:tcPr>
            <w:tcW w:w="1687" w:type="dxa"/>
            <w:tcBorders>
              <w:top w:val="nil"/>
              <w:left w:val="nil"/>
              <w:bottom w:val="single" w:sz="4" w:space="0" w:color="auto"/>
              <w:right w:val="single" w:sz="4" w:space="0" w:color="auto"/>
            </w:tcBorders>
            <w:vAlign w:val="bottom"/>
          </w:tcPr>
          <w:p w14:paraId="07E33ED7"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$100.8m</w:t>
            </w:r>
          </w:p>
        </w:tc>
      </w:tr>
      <w:tr w:rsidR="00EE33A3" w:rsidRPr="00AD751F" w14:paraId="2BFB3C57"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DBBF079"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Rockingham</w:t>
            </w:r>
          </w:p>
        </w:tc>
        <w:tc>
          <w:tcPr>
            <w:tcW w:w="1640" w:type="dxa"/>
            <w:tcBorders>
              <w:top w:val="nil"/>
              <w:left w:val="nil"/>
              <w:bottom w:val="single" w:sz="4" w:space="0" w:color="auto"/>
              <w:right w:val="single" w:sz="4" w:space="0" w:color="auto"/>
            </w:tcBorders>
            <w:shd w:val="clear" w:color="auto" w:fill="auto"/>
            <w:noWrap/>
            <w:vAlign w:val="bottom"/>
            <w:hideMark/>
          </w:tcPr>
          <w:p w14:paraId="0E052DE6"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409</w:t>
            </w:r>
          </w:p>
        </w:tc>
        <w:tc>
          <w:tcPr>
            <w:tcW w:w="2100" w:type="dxa"/>
            <w:tcBorders>
              <w:top w:val="nil"/>
              <w:left w:val="nil"/>
              <w:bottom w:val="single" w:sz="4" w:space="0" w:color="auto"/>
              <w:right w:val="single" w:sz="4" w:space="0" w:color="auto"/>
            </w:tcBorders>
            <w:shd w:val="clear" w:color="auto" w:fill="auto"/>
            <w:noWrap/>
            <w:vAlign w:val="bottom"/>
            <w:hideMark/>
          </w:tcPr>
          <w:p w14:paraId="77BE7F28"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$17.2m</w:t>
            </w:r>
          </w:p>
        </w:tc>
        <w:tc>
          <w:tcPr>
            <w:tcW w:w="1687" w:type="dxa"/>
            <w:tcBorders>
              <w:top w:val="nil"/>
              <w:left w:val="nil"/>
              <w:bottom w:val="single" w:sz="4" w:space="0" w:color="auto"/>
              <w:right w:val="single" w:sz="4" w:space="0" w:color="auto"/>
            </w:tcBorders>
            <w:vAlign w:val="bottom"/>
          </w:tcPr>
          <w:p w14:paraId="622120FC"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$100.9m</w:t>
            </w:r>
          </w:p>
        </w:tc>
      </w:tr>
      <w:tr w:rsidR="00EE33A3" w:rsidRPr="00AD751F" w14:paraId="7CBAD4F7"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0469272"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Melville</w:t>
            </w:r>
          </w:p>
        </w:tc>
        <w:tc>
          <w:tcPr>
            <w:tcW w:w="1640" w:type="dxa"/>
            <w:tcBorders>
              <w:top w:val="nil"/>
              <w:left w:val="nil"/>
              <w:bottom w:val="single" w:sz="4" w:space="0" w:color="auto"/>
              <w:right w:val="single" w:sz="4" w:space="0" w:color="auto"/>
            </w:tcBorders>
            <w:shd w:val="clear" w:color="auto" w:fill="auto"/>
            <w:noWrap/>
            <w:vAlign w:val="bottom"/>
            <w:hideMark/>
          </w:tcPr>
          <w:p w14:paraId="0E6D0C23"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351</w:t>
            </w:r>
          </w:p>
        </w:tc>
        <w:tc>
          <w:tcPr>
            <w:tcW w:w="2100" w:type="dxa"/>
            <w:tcBorders>
              <w:top w:val="nil"/>
              <w:left w:val="nil"/>
              <w:bottom w:val="single" w:sz="4" w:space="0" w:color="auto"/>
              <w:right w:val="single" w:sz="4" w:space="0" w:color="auto"/>
            </w:tcBorders>
            <w:shd w:val="clear" w:color="auto" w:fill="auto"/>
            <w:noWrap/>
            <w:vAlign w:val="bottom"/>
            <w:hideMark/>
          </w:tcPr>
          <w:p w14:paraId="087763B3"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$11.9m</w:t>
            </w:r>
          </w:p>
        </w:tc>
        <w:tc>
          <w:tcPr>
            <w:tcW w:w="1687" w:type="dxa"/>
            <w:tcBorders>
              <w:top w:val="nil"/>
              <w:left w:val="nil"/>
              <w:bottom w:val="single" w:sz="4" w:space="0" w:color="auto"/>
              <w:right w:val="single" w:sz="4" w:space="0" w:color="auto"/>
            </w:tcBorders>
            <w:vAlign w:val="bottom"/>
          </w:tcPr>
          <w:p w14:paraId="67387A5B"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$48.4m</w:t>
            </w:r>
          </w:p>
        </w:tc>
      </w:tr>
      <w:tr w:rsidR="00EE33A3" w:rsidRPr="00AD751F" w14:paraId="783FA34C"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688F4C1"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Victoria Park</w:t>
            </w:r>
          </w:p>
        </w:tc>
        <w:tc>
          <w:tcPr>
            <w:tcW w:w="1640" w:type="dxa"/>
            <w:tcBorders>
              <w:top w:val="nil"/>
              <w:left w:val="nil"/>
              <w:bottom w:val="single" w:sz="4" w:space="0" w:color="auto"/>
              <w:right w:val="single" w:sz="4" w:space="0" w:color="auto"/>
            </w:tcBorders>
            <w:shd w:val="clear" w:color="auto" w:fill="auto"/>
            <w:noWrap/>
            <w:vAlign w:val="bottom"/>
            <w:hideMark/>
          </w:tcPr>
          <w:p w14:paraId="6F224EAD"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291</w:t>
            </w:r>
          </w:p>
        </w:tc>
        <w:tc>
          <w:tcPr>
            <w:tcW w:w="2100" w:type="dxa"/>
            <w:tcBorders>
              <w:top w:val="nil"/>
              <w:left w:val="nil"/>
              <w:bottom w:val="single" w:sz="4" w:space="0" w:color="auto"/>
              <w:right w:val="single" w:sz="4" w:space="0" w:color="auto"/>
            </w:tcBorders>
            <w:shd w:val="clear" w:color="auto" w:fill="auto"/>
            <w:noWrap/>
            <w:vAlign w:val="bottom"/>
            <w:hideMark/>
          </w:tcPr>
          <w:p w14:paraId="12313664"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$14.2m</w:t>
            </w:r>
          </w:p>
        </w:tc>
        <w:tc>
          <w:tcPr>
            <w:tcW w:w="1687" w:type="dxa"/>
            <w:tcBorders>
              <w:top w:val="nil"/>
              <w:left w:val="nil"/>
              <w:bottom w:val="single" w:sz="4" w:space="0" w:color="auto"/>
              <w:right w:val="single" w:sz="4" w:space="0" w:color="auto"/>
            </w:tcBorders>
            <w:vAlign w:val="bottom"/>
          </w:tcPr>
          <w:p w14:paraId="05005168"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$56.5m</w:t>
            </w:r>
          </w:p>
        </w:tc>
      </w:tr>
      <w:tr w:rsidR="00EE33A3" w:rsidRPr="00AD751F" w14:paraId="134858FC"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3C68945E" w14:textId="77777777" w:rsidR="00EE33A3" w:rsidRPr="00AD751F" w:rsidRDefault="00EE33A3" w:rsidP="004046F0">
            <w:pPr>
              <w:pStyle w:val="NoParagraphStyle"/>
              <w:suppressAutoHyphens/>
              <w:jc w:val="both"/>
              <w:rPr>
                <w:rFonts w:ascii="Arial" w:hAnsi="Arial" w:cs="Arial"/>
              </w:rPr>
            </w:pPr>
            <w:proofErr w:type="spellStart"/>
            <w:r w:rsidRPr="00AD751F">
              <w:rPr>
                <w:rFonts w:ascii="Arial" w:hAnsi="Arial" w:cs="Arial"/>
              </w:rPr>
              <w:t>Armadale</w:t>
            </w:r>
            <w:proofErr w:type="spellEnd"/>
          </w:p>
        </w:tc>
        <w:tc>
          <w:tcPr>
            <w:tcW w:w="1640" w:type="dxa"/>
            <w:tcBorders>
              <w:top w:val="nil"/>
              <w:left w:val="nil"/>
              <w:bottom w:val="single" w:sz="4" w:space="0" w:color="auto"/>
              <w:right w:val="single" w:sz="4" w:space="0" w:color="auto"/>
            </w:tcBorders>
            <w:shd w:val="clear" w:color="auto" w:fill="auto"/>
            <w:noWrap/>
            <w:vAlign w:val="bottom"/>
          </w:tcPr>
          <w:p w14:paraId="1310BA6F"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350</w:t>
            </w:r>
          </w:p>
        </w:tc>
        <w:tc>
          <w:tcPr>
            <w:tcW w:w="2100" w:type="dxa"/>
            <w:tcBorders>
              <w:top w:val="nil"/>
              <w:left w:val="nil"/>
              <w:bottom w:val="single" w:sz="4" w:space="0" w:color="auto"/>
              <w:right w:val="single" w:sz="4" w:space="0" w:color="auto"/>
            </w:tcBorders>
            <w:shd w:val="clear" w:color="auto" w:fill="auto"/>
            <w:noWrap/>
            <w:vAlign w:val="bottom"/>
          </w:tcPr>
          <w:p w14:paraId="03CCF777"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$13.3m</w:t>
            </w:r>
          </w:p>
        </w:tc>
        <w:tc>
          <w:tcPr>
            <w:tcW w:w="1687" w:type="dxa"/>
            <w:tcBorders>
              <w:top w:val="nil"/>
              <w:left w:val="nil"/>
              <w:bottom w:val="single" w:sz="4" w:space="0" w:color="auto"/>
              <w:right w:val="single" w:sz="4" w:space="0" w:color="auto"/>
            </w:tcBorders>
            <w:vAlign w:val="bottom"/>
          </w:tcPr>
          <w:p w14:paraId="693E3A1D"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$40.8m</w:t>
            </w:r>
          </w:p>
        </w:tc>
      </w:tr>
      <w:tr w:rsidR="00EE33A3" w:rsidRPr="00AD751F" w14:paraId="6893A126"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598A64FB" w14:textId="77777777" w:rsidR="00EE33A3" w:rsidRPr="00AD751F" w:rsidRDefault="00EE33A3" w:rsidP="004046F0">
            <w:pPr>
              <w:pStyle w:val="NoParagraphStyle"/>
              <w:suppressAutoHyphens/>
              <w:jc w:val="both"/>
              <w:rPr>
                <w:rFonts w:ascii="Arial" w:hAnsi="Arial" w:cs="Arial"/>
              </w:rPr>
            </w:pPr>
            <w:proofErr w:type="spellStart"/>
            <w:r w:rsidRPr="00AD751F">
              <w:rPr>
                <w:rFonts w:ascii="Arial" w:hAnsi="Arial" w:cs="Arial"/>
              </w:rPr>
              <w:t>Mandurah</w:t>
            </w:r>
            <w:proofErr w:type="spellEnd"/>
          </w:p>
        </w:tc>
        <w:tc>
          <w:tcPr>
            <w:tcW w:w="1640" w:type="dxa"/>
            <w:tcBorders>
              <w:top w:val="nil"/>
              <w:left w:val="nil"/>
              <w:bottom w:val="single" w:sz="4" w:space="0" w:color="auto"/>
              <w:right w:val="single" w:sz="4" w:space="0" w:color="auto"/>
            </w:tcBorders>
            <w:shd w:val="clear" w:color="auto" w:fill="auto"/>
            <w:noWrap/>
            <w:vAlign w:val="bottom"/>
          </w:tcPr>
          <w:p w14:paraId="2D50DC2F"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240</w:t>
            </w:r>
          </w:p>
        </w:tc>
        <w:tc>
          <w:tcPr>
            <w:tcW w:w="2100" w:type="dxa"/>
            <w:tcBorders>
              <w:top w:val="nil"/>
              <w:left w:val="nil"/>
              <w:bottom w:val="single" w:sz="4" w:space="0" w:color="auto"/>
              <w:right w:val="single" w:sz="4" w:space="0" w:color="auto"/>
            </w:tcBorders>
            <w:shd w:val="clear" w:color="auto" w:fill="auto"/>
            <w:noWrap/>
            <w:vAlign w:val="bottom"/>
          </w:tcPr>
          <w:p w14:paraId="121BB93D"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$7.2m</w:t>
            </w:r>
          </w:p>
        </w:tc>
        <w:tc>
          <w:tcPr>
            <w:tcW w:w="1687" w:type="dxa"/>
            <w:tcBorders>
              <w:top w:val="nil"/>
              <w:left w:val="nil"/>
              <w:bottom w:val="single" w:sz="4" w:space="0" w:color="auto"/>
              <w:right w:val="single" w:sz="4" w:space="0" w:color="auto"/>
            </w:tcBorders>
            <w:vAlign w:val="bottom"/>
          </w:tcPr>
          <w:p w14:paraId="4C9E1B8C"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$60.6m</w:t>
            </w:r>
          </w:p>
        </w:tc>
      </w:tr>
      <w:tr w:rsidR="00EE33A3" w:rsidRPr="00BB3520" w14:paraId="36CC6B12"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029A201A" w14:textId="77777777" w:rsidR="00EE33A3" w:rsidRPr="00AD751F" w:rsidRDefault="00EE33A3" w:rsidP="004046F0">
            <w:pPr>
              <w:pStyle w:val="NoParagraphStyle"/>
              <w:suppressAutoHyphens/>
              <w:jc w:val="both"/>
              <w:rPr>
                <w:rFonts w:ascii="Arial" w:hAnsi="Arial" w:cs="Arial"/>
              </w:rPr>
            </w:pPr>
            <w:r w:rsidRPr="00AD751F">
              <w:rPr>
                <w:rFonts w:ascii="Arial" w:hAnsi="Arial" w:cs="Arial"/>
              </w:rPr>
              <w:t>Derby-West Kimberley</w:t>
            </w:r>
          </w:p>
        </w:tc>
        <w:tc>
          <w:tcPr>
            <w:tcW w:w="1640" w:type="dxa"/>
            <w:tcBorders>
              <w:top w:val="nil"/>
              <w:left w:val="nil"/>
              <w:bottom w:val="single" w:sz="4" w:space="0" w:color="auto"/>
              <w:right w:val="single" w:sz="4" w:space="0" w:color="auto"/>
            </w:tcBorders>
            <w:shd w:val="clear" w:color="auto" w:fill="auto"/>
            <w:noWrap/>
            <w:vAlign w:val="bottom"/>
          </w:tcPr>
          <w:p w14:paraId="6DCE2B22"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19</w:t>
            </w:r>
          </w:p>
        </w:tc>
        <w:tc>
          <w:tcPr>
            <w:tcW w:w="2100" w:type="dxa"/>
            <w:tcBorders>
              <w:top w:val="nil"/>
              <w:left w:val="nil"/>
              <w:bottom w:val="single" w:sz="4" w:space="0" w:color="auto"/>
              <w:right w:val="single" w:sz="4" w:space="0" w:color="auto"/>
            </w:tcBorders>
            <w:shd w:val="clear" w:color="auto" w:fill="auto"/>
            <w:noWrap/>
            <w:vAlign w:val="bottom"/>
          </w:tcPr>
          <w:p w14:paraId="19599F35"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$2.5m</w:t>
            </w:r>
          </w:p>
        </w:tc>
        <w:tc>
          <w:tcPr>
            <w:tcW w:w="1687" w:type="dxa"/>
            <w:tcBorders>
              <w:top w:val="nil"/>
              <w:left w:val="nil"/>
              <w:bottom w:val="single" w:sz="4" w:space="0" w:color="auto"/>
              <w:right w:val="single" w:sz="4" w:space="0" w:color="auto"/>
            </w:tcBorders>
            <w:vAlign w:val="bottom"/>
          </w:tcPr>
          <w:p w14:paraId="1E3D755E" w14:textId="77777777" w:rsidR="00EE33A3" w:rsidRPr="00AD751F" w:rsidRDefault="00EE33A3" w:rsidP="004046F0">
            <w:pPr>
              <w:pStyle w:val="NoParagraphStyle"/>
              <w:suppressAutoHyphens/>
              <w:jc w:val="both"/>
              <w:rPr>
                <w:rFonts w:ascii="Arial" w:hAnsi="Arial" w:cs="Arial"/>
                <w:lang w:val="en-AU"/>
              </w:rPr>
            </w:pPr>
            <w:r w:rsidRPr="00AD751F">
              <w:rPr>
                <w:rFonts w:ascii="Arial" w:hAnsi="Arial" w:cs="Arial"/>
              </w:rPr>
              <w:t>$59.3m</w:t>
            </w:r>
          </w:p>
        </w:tc>
      </w:tr>
    </w:tbl>
    <w:p w14:paraId="5B3455CC" w14:textId="77777777" w:rsidR="00EE33A3" w:rsidRDefault="00EE33A3" w:rsidP="00EE33A3">
      <w:pPr>
        <w:pStyle w:val="NoParagraphStyle"/>
        <w:suppressAutoHyphens/>
        <w:spacing w:line="240" w:lineRule="auto"/>
        <w:jc w:val="both"/>
        <w:rPr>
          <w:rFonts w:ascii="Arial" w:hAnsi="Arial" w:cs="Arial"/>
          <w:color w:val="auto"/>
          <w:sz w:val="22"/>
          <w:szCs w:val="22"/>
          <w:lang w:val="en-AU"/>
        </w:rPr>
      </w:pPr>
    </w:p>
    <w:p w14:paraId="01CC5F29" w14:textId="77777777" w:rsidR="00EE33A3" w:rsidRDefault="00EE33A3" w:rsidP="00EE33A3">
      <w:pPr>
        <w:pStyle w:val="NoParagraphStyle"/>
        <w:suppressAutoHyphens/>
        <w:spacing w:line="240" w:lineRule="auto"/>
        <w:jc w:val="both"/>
        <w:rPr>
          <w:rFonts w:ascii="Arial" w:hAnsi="Arial" w:cs="Arial"/>
          <w:color w:val="auto"/>
          <w:lang w:val="en-AU"/>
        </w:rPr>
      </w:pPr>
      <w:r w:rsidRPr="00B85080">
        <w:rPr>
          <w:rFonts w:ascii="Arial" w:hAnsi="Arial" w:cs="Arial"/>
          <w:color w:val="auto"/>
          <w:lang w:val="en-AU"/>
        </w:rPr>
        <w:t xml:space="preserve">The Insurance Commission </w:t>
      </w:r>
      <w:r>
        <w:rPr>
          <w:rFonts w:ascii="Arial" w:hAnsi="Arial" w:cs="Arial"/>
          <w:color w:val="auto"/>
          <w:lang w:val="en-AU"/>
        </w:rPr>
        <w:t xml:space="preserve">is using data analytics to examine the type of injuries sustained by motorists and how those injuries relate to the cost of a claim. This information can claims officers to enhance their assessment of a claim. Further work will be performed in this area during 2019. </w:t>
      </w:r>
    </w:p>
    <w:p w14:paraId="186B5887" w14:textId="77777777" w:rsidR="00EE33A3" w:rsidRPr="00B85080" w:rsidRDefault="00EE33A3" w:rsidP="00EE33A3">
      <w:pPr>
        <w:pStyle w:val="NoParagraphStyle"/>
        <w:suppressAutoHyphens/>
        <w:spacing w:line="240" w:lineRule="auto"/>
        <w:jc w:val="both"/>
        <w:rPr>
          <w:rFonts w:ascii="Arial" w:hAnsi="Arial" w:cs="Arial"/>
          <w:color w:val="auto"/>
          <w:lang w:val="en-AU"/>
        </w:rPr>
      </w:pPr>
    </w:p>
    <w:p w14:paraId="692FE219" w14:textId="77777777" w:rsidR="00EE33A3" w:rsidRPr="00BB3520" w:rsidRDefault="00EE33A3" w:rsidP="00EE33A3">
      <w:pPr>
        <w:pStyle w:val="NoParagraphStyle"/>
        <w:suppressAutoHyphens/>
        <w:spacing w:line="240" w:lineRule="auto"/>
        <w:jc w:val="both"/>
        <w:rPr>
          <w:rFonts w:ascii="Arial" w:hAnsi="Arial" w:cs="Arial"/>
          <w:color w:val="auto"/>
          <w:lang w:val="en-AU"/>
        </w:rPr>
      </w:pPr>
      <w:r w:rsidRPr="00CB3073">
        <w:rPr>
          <w:rFonts w:ascii="Arial" w:hAnsi="Arial" w:cs="Arial"/>
          <w:color w:val="auto"/>
          <w:lang w:val="en-AU"/>
        </w:rPr>
        <w:t>The infographic below shows the number of</w:t>
      </w:r>
      <w:r>
        <w:rPr>
          <w:rFonts w:ascii="Arial" w:hAnsi="Arial" w:cs="Arial"/>
          <w:color w:val="auto"/>
          <w:lang w:val="en-AU"/>
        </w:rPr>
        <w:t xml:space="preserve"> significant</w:t>
      </w:r>
      <w:r w:rsidRPr="00CB3073">
        <w:rPr>
          <w:rFonts w:ascii="Arial" w:hAnsi="Arial" w:cs="Arial"/>
          <w:color w:val="auto"/>
          <w:lang w:val="en-AU"/>
        </w:rPr>
        <w:t xml:space="preserve"> injuries sustained in car crashes and </w:t>
      </w:r>
      <w:r>
        <w:rPr>
          <w:rFonts w:ascii="Arial" w:hAnsi="Arial" w:cs="Arial"/>
          <w:color w:val="auto"/>
          <w:lang w:val="en-AU"/>
        </w:rPr>
        <w:t xml:space="preserve">compensation </w:t>
      </w:r>
      <w:r w:rsidRPr="00CB3073">
        <w:rPr>
          <w:rFonts w:ascii="Arial" w:hAnsi="Arial" w:cs="Arial"/>
          <w:color w:val="auto"/>
          <w:lang w:val="en-AU"/>
        </w:rPr>
        <w:t>payments made for those injuries, excluding minor injury claims. One claim can involve multiple injuries.</w:t>
      </w:r>
    </w:p>
    <w:p w14:paraId="6D01CC9E" w14:textId="77777777" w:rsidR="00EE33A3" w:rsidRPr="00BB3520" w:rsidRDefault="00EE33A3" w:rsidP="00EE33A3">
      <w:pPr>
        <w:pStyle w:val="NoParagraphStyle"/>
        <w:suppressAutoHyphens/>
        <w:spacing w:line="240" w:lineRule="auto"/>
        <w:jc w:val="both"/>
        <w:rPr>
          <w:rFonts w:ascii="Arial" w:hAnsi="Arial" w:cs="Arial"/>
          <w:color w:val="auto"/>
          <w:highlight w:val="yellow"/>
          <w:lang w:val="en-AU"/>
        </w:rPr>
      </w:pPr>
    </w:p>
    <w:p w14:paraId="7913CD0B" w14:textId="77777777" w:rsidR="00EE33A3" w:rsidRPr="00AD751F" w:rsidRDefault="00EE33A3" w:rsidP="00EE33A3">
      <w:pPr>
        <w:pStyle w:val="NoParagraphStyle"/>
        <w:suppressAutoHyphens/>
        <w:spacing w:after="200" w:line="240" w:lineRule="auto"/>
        <w:jc w:val="both"/>
        <w:rPr>
          <w:rFonts w:ascii="Arial" w:hAnsi="Arial" w:cs="Arial"/>
          <w:i/>
          <w:lang w:val="en-US"/>
        </w:rPr>
      </w:pPr>
      <w:r w:rsidRPr="00AD751F">
        <w:rPr>
          <w:rFonts w:ascii="Arial" w:hAnsi="Arial" w:cs="Arial"/>
          <w:i/>
          <w:lang w:val="en-US"/>
        </w:rPr>
        <w:lastRenderedPageBreak/>
        <w:t>Infographic – Number and cost of crash injuries by body part</w:t>
      </w:r>
    </w:p>
    <w:tbl>
      <w:tblPr>
        <w:tblW w:w="6658" w:type="dxa"/>
        <w:tblLook w:val="04A0" w:firstRow="1" w:lastRow="0" w:firstColumn="1" w:lastColumn="0" w:noHBand="0" w:noVBand="1"/>
      </w:tblPr>
      <w:tblGrid>
        <w:gridCol w:w="2263"/>
        <w:gridCol w:w="2268"/>
        <w:gridCol w:w="2127"/>
      </w:tblGrid>
      <w:tr w:rsidR="00EE33A3" w:rsidRPr="00AD751F" w14:paraId="0252487F" w14:textId="77777777" w:rsidTr="004046F0">
        <w:trPr>
          <w:trHeight w:val="31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E24BF"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EC46FB4" w14:textId="77777777" w:rsidR="00EE33A3" w:rsidRPr="00AD751F" w:rsidRDefault="00EE33A3" w:rsidP="004046F0">
            <w:pPr>
              <w:rPr>
                <w:rFonts w:ascii="Arial" w:hAnsi="Arial" w:cs="Arial"/>
                <w:b/>
                <w:bCs/>
                <w:color w:val="000000"/>
                <w:szCs w:val="24"/>
                <w:lang w:eastAsia="en-AU"/>
              </w:rPr>
            </w:pPr>
            <w:r w:rsidRPr="00AD751F">
              <w:rPr>
                <w:rFonts w:ascii="Arial" w:hAnsi="Arial" w:cs="Arial"/>
                <w:b/>
                <w:bCs/>
                <w:color w:val="000000"/>
                <w:szCs w:val="24"/>
                <w:lang w:eastAsia="en-AU"/>
              </w:rPr>
              <w:t>Number of injuries</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10FE2EB3" w14:textId="77777777" w:rsidR="00EE33A3" w:rsidRPr="00AD751F" w:rsidRDefault="00EE33A3" w:rsidP="004046F0">
            <w:pPr>
              <w:rPr>
                <w:rFonts w:ascii="Arial" w:hAnsi="Arial" w:cs="Arial"/>
                <w:b/>
                <w:bCs/>
                <w:color w:val="000000"/>
                <w:szCs w:val="24"/>
                <w:lang w:eastAsia="en-AU"/>
              </w:rPr>
            </w:pPr>
            <w:r w:rsidRPr="00AD751F">
              <w:rPr>
                <w:rFonts w:ascii="Arial" w:hAnsi="Arial" w:cs="Arial"/>
                <w:b/>
                <w:bCs/>
                <w:color w:val="000000"/>
                <w:szCs w:val="24"/>
                <w:lang w:eastAsia="en-AU"/>
              </w:rPr>
              <w:t>Total payments</w:t>
            </w:r>
          </w:p>
        </w:tc>
      </w:tr>
      <w:tr w:rsidR="00EE33A3" w:rsidRPr="00AD751F" w14:paraId="2C68AE6D" w14:textId="77777777" w:rsidTr="004046F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9B3DDD8"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Head</w:t>
            </w:r>
          </w:p>
        </w:tc>
        <w:tc>
          <w:tcPr>
            <w:tcW w:w="2268" w:type="dxa"/>
            <w:tcBorders>
              <w:top w:val="nil"/>
              <w:left w:val="nil"/>
              <w:bottom w:val="single" w:sz="4" w:space="0" w:color="auto"/>
              <w:right w:val="single" w:sz="4" w:space="0" w:color="auto"/>
            </w:tcBorders>
            <w:shd w:val="clear" w:color="auto" w:fill="auto"/>
            <w:noWrap/>
            <w:vAlign w:val="bottom"/>
            <w:hideMark/>
          </w:tcPr>
          <w:p w14:paraId="745279AA"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406</w:t>
            </w:r>
          </w:p>
        </w:tc>
        <w:tc>
          <w:tcPr>
            <w:tcW w:w="2127" w:type="dxa"/>
            <w:tcBorders>
              <w:top w:val="nil"/>
              <w:left w:val="nil"/>
              <w:bottom w:val="single" w:sz="4" w:space="0" w:color="auto"/>
              <w:right w:val="single" w:sz="4" w:space="0" w:color="auto"/>
            </w:tcBorders>
            <w:shd w:val="clear" w:color="auto" w:fill="auto"/>
            <w:noWrap/>
            <w:vAlign w:val="bottom"/>
            <w:hideMark/>
          </w:tcPr>
          <w:p w14:paraId="1B126991"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$80.5m</w:t>
            </w:r>
          </w:p>
        </w:tc>
      </w:tr>
      <w:tr w:rsidR="00EE33A3" w:rsidRPr="00AD751F" w14:paraId="01FB5CDB" w14:textId="77777777" w:rsidTr="004046F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6F861C4"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Face</w:t>
            </w:r>
          </w:p>
        </w:tc>
        <w:tc>
          <w:tcPr>
            <w:tcW w:w="2268" w:type="dxa"/>
            <w:tcBorders>
              <w:top w:val="nil"/>
              <w:left w:val="nil"/>
              <w:bottom w:val="single" w:sz="4" w:space="0" w:color="auto"/>
              <w:right w:val="single" w:sz="4" w:space="0" w:color="auto"/>
            </w:tcBorders>
            <w:shd w:val="clear" w:color="auto" w:fill="auto"/>
            <w:noWrap/>
            <w:vAlign w:val="bottom"/>
            <w:hideMark/>
          </w:tcPr>
          <w:p w14:paraId="41CB71B2"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143</w:t>
            </w:r>
          </w:p>
        </w:tc>
        <w:tc>
          <w:tcPr>
            <w:tcW w:w="2127" w:type="dxa"/>
            <w:tcBorders>
              <w:top w:val="nil"/>
              <w:left w:val="nil"/>
              <w:bottom w:val="single" w:sz="4" w:space="0" w:color="auto"/>
              <w:right w:val="single" w:sz="4" w:space="0" w:color="auto"/>
            </w:tcBorders>
            <w:shd w:val="clear" w:color="auto" w:fill="auto"/>
            <w:noWrap/>
            <w:vAlign w:val="bottom"/>
            <w:hideMark/>
          </w:tcPr>
          <w:p w14:paraId="34D59D2B"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$3.4m</w:t>
            </w:r>
          </w:p>
        </w:tc>
      </w:tr>
      <w:tr w:rsidR="00EE33A3" w:rsidRPr="00AD751F" w14:paraId="21106EAA" w14:textId="77777777" w:rsidTr="004046F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325F60E"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Spine and neck</w:t>
            </w:r>
          </w:p>
        </w:tc>
        <w:tc>
          <w:tcPr>
            <w:tcW w:w="2268" w:type="dxa"/>
            <w:tcBorders>
              <w:top w:val="nil"/>
              <w:left w:val="nil"/>
              <w:bottom w:val="single" w:sz="4" w:space="0" w:color="auto"/>
              <w:right w:val="single" w:sz="4" w:space="0" w:color="auto"/>
            </w:tcBorders>
            <w:shd w:val="clear" w:color="auto" w:fill="auto"/>
            <w:noWrap/>
            <w:vAlign w:val="bottom"/>
            <w:hideMark/>
          </w:tcPr>
          <w:p w14:paraId="025D4F48"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4,121</w:t>
            </w:r>
          </w:p>
        </w:tc>
        <w:tc>
          <w:tcPr>
            <w:tcW w:w="2127" w:type="dxa"/>
            <w:tcBorders>
              <w:top w:val="nil"/>
              <w:left w:val="nil"/>
              <w:bottom w:val="single" w:sz="4" w:space="0" w:color="auto"/>
              <w:right w:val="single" w:sz="4" w:space="0" w:color="auto"/>
            </w:tcBorders>
            <w:shd w:val="clear" w:color="auto" w:fill="auto"/>
            <w:noWrap/>
            <w:vAlign w:val="bottom"/>
            <w:hideMark/>
          </w:tcPr>
          <w:p w14:paraId="50B73F9E"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$111.5m</w:t>
            </w:r>
          </w:p>
        </w:tc>
      </w:tr>
      <w:tr w:rsidR="00EE33A3" w:rsidRPr="00AD751F" w14:paraId="532F6685" w14:textId="77777777" w:rsidTr="004046F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E722735"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Trunk</w:t>
            </w:r>
          </w:p>
        </w:tc>
        <w:tc>
          <w:tcPr>
            <w:tcW w:w="2268" w:type="dxa"/>
            <w:tcBorders>
              <w:top w:val="nil"/>
              <w:left w:val="nil"/>
              <w:bottom w:val="single" w:sz="4" w:space="0" w:color="auto"/>
              <w:right w:val="single" w:sz="4" w:space="0" w:color="auto"/>
            </w:tcBorders>
            <w:shd w:val="clear" w:color="auto" w:fill="auto"/>
            <w:noWrap/>
            <w:vAlign w:val="bottom"/>
            <w:hideMark/>
          </w:tcPr>
          <w:p w14:paraId="4C56DF9D"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439</w:t>
            </w:r>
          </w:p>
        </w:tc>
        <w:tc>
          <w:tcPr>
            <w:tcW w:w="2127" w:type="dxa"/>
            <w:tcBorders>
              <w:top w:val="nil"/>
              <w:left w:val="nil"/>
              <w:bottom w:val="single" w:sz="4" w:space="0" w:color="auto"/>
              <w:right w:val="single" w:sz="4" w:space="0" w:color="auto"/>
            </w:tcBorders>
            <w:shd w:val="clear" w:color="auto" w:fill="auto"/>
            <w:noWrap/>
            <w:vAlign w:val="bottom"/>
            <w:hideMark/>
          </w:tcPr>
          <w:p w14:paraId="3BCD6F30"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$30.4m</w:t>
            </w:r>
          </w:p>
        </w:tc>
      </w:tr>
      <w:tr w:rsidR="00EE33A3" w:rsidRPr="00AD751F" w14:paraId="066B6242" w14:textId="77777777" w:rsidTr="004046F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C7CCD3D"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Lower limbs</w:t>
            </w:r>
          </w:p>
        </w:tc>
        <w:tc>
          <w:tcPr>
            <w:tcW w:w="2268" w:type="dxa"/>
            <w:tcBorders>
              <w:top w:val="nil"/>
              <w:left w:val="nil"/>
              <w:bottom w:val="single" w:sz="4" w:space="0" w:color="auto"/>
              <w:right w:val="single" w:sz="4" w:space="0" w:color="auto"/>
            </w:tcBorders>
            <w:shd w:val="clear" w:color="auto" w:fill="auto"/>
            <w:noWrap/>
            <w:vAlign w:val="bottom"/>
            <w:hideMark/>
          </w:tcPr>
          <w:p w14:paraId="3ADA7D98"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1,314</w:t>
            </w:r>
          </w:p>
        </w:tc>
        <w:tc>
          <w:tcPr>
            <w:tcW w:w="2127" w:type="dxa"/>
            <w:tcBorders>
              <w:top w:val="nil"/>
              <w:left w:val="nil"/>
              <w:bottom w:val="single" w:sz="4" w:space="0" w:color="auto"/>
              <w:right w:val="single" w:sz="4" w:space="0" w:color="auto"/>
            </w:tcBorders>
            <w:shd w:val="clear" w:color="auto" w:fill="auto"/>
            <w:noWrap/>
            <w:vAlign w:val="bottom"/>
            <w:hideMark/>
          </w:tcPr>
          <w:p w14:paraId="6B11014A"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$66.8m</w:t>
            </w:r>
          </w:p>
        </w:tc>
      </w:tr>
      <w:tr w:rsidR="00EE33A3" w:rsidRPr="00AD751F" w14:paraId="1147050B" w14:textId="77777777" w:rsidTr="004046F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0A52084"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Mental stress</w:t>
            </w:r>
          </w:p>
        </w:tc>
        <w:tc>
          <w:tcPr>
            <w:tcW w:w="2268" w:type="dxa"/>
            <w:tcBorders>
              <w:top w:val="nil"/>
              <w:left w:val="nil"/>
              <w:bottom w:val="single" w:sz="4" w:space="0" w:color="auto"/>
              <w:right w:val="single" w:sz="4" w:space="0" w:color="auto"/>
            </w:tcBorders>
            <w:shd w:val="clear" w:color="auto" w:fill="auto"/>
            <w:noWrap/>
            <w:vAlign w:val="bottom"/>
            <w:hideMark/>
          </w:tcPr>
          <w:p w14:paraId="39DD5E0A"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129</w:t>
            </w:r>
          </w:p>
        </w:tc>
        <w:tc>
          <w:tcPr>
            <w:tcW w:w="2127" w:type="dxa"/>
            <w:tcBorders>
              <w:top w:val="nil"/>
              <w:left w:val="nil"/>
              <w:bottom w:val="single" w:sz="4" w:space="0" w:color="auto"/>
              <w:right w:val="single" w:sz="4" w:space="0" w:color="auto"/>
            </w:tcBorders>
            <w:shd w:val="clear" w:color="auto" w:fill="auto"/>
            <w:noWrap/>
            <w:vAlign w:val="bottom"/>
            <w:hideMark/>
          </w:tcPr>
          <w:p w14:paraId="7C6D89A9"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$2.6m</w:t>
            </w:r>
          </w:p>
        </w:tc>
      </w:tr>
      <w:tr w:rsidR="00EE33A3" w:rsidRPr="00AD751F" w14:paraId="5287BF72" w14:textId="77777777" w:rsidTr="004046F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C993928"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Upper limbs</w:t>
            </w:r>
          </w:p>
        </w:tc>
        <w:tc>
          <w:tcPr>
            <w:tcW w:w="2268" w:type="dxa"/>
            <w:tcBorders>
              <w:top w:val="nil"/>
              <w:left w:val="nil"/>
              <w:bottom w:val="single" w:sz="4" w:space="0" w:color="auto"/>
              <w:right w:val="single" w:sz="4" w:space="0" w:color="auto"/>
            </w:tcBorders>
            <w:shd w:val="clear" w:color="auto" w:fill="auto"/>
            <w:noWrap/>
            <w:vAlign w:val="bottom"/>
            <w:hideMark/>
          </w:tcPr>
          <w:p w14:paraId="4D329C48"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1,397</w:t>
            </w:r>
          </w:p>
        </w:tc>
        <w:tc>
          <w:tcPr>
            <w:tcW w:w="2127" w:type="dxa"/>
            <w:tcBorders>
              <w:top w:val="nil"/>
              <w:left w:val="nil"/>
              <w:bottom w:val="single" w:sz="4" w:space="0" w:color="auto"/>
              <w:right w:val="single" w:sz="4" w:space="0" w:color="auto"/>
            </w:tcBorders>
            <w:shd w:val="clear" w:color="auto" w:fill="auto"/>
            <w:noWrap/>
            <w:vAlign w:val="bottom"/>
            <w:hideMark/>
          </w:tcPr>
          <w:p w14:paraId="29A24D99"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$52.6m</w:t>
            </w:r>
          </w:p>
        </w:tc>
      </w:tr>
      <w:tr w:rsidR="00EE33A3" w:rsidRPr="00AD751F" w14:paraId="2CE8EB26" w14:textId="77777777" w:rsidTr="004046F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CC86297"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Abdomen and pelvis</w:t>
            </w:r>
          </w:p>
        </w:tc>
        <w:tc>
          <w:tcPr>
            <w:tcW w:w="2268" w:type="dxa"/>
            <w:tcBorders>
              <w:top w:val="nil"/>
              <w:left w:val="nil"/>
              <w:bottom w:val="single" w:sz="4" w:space="0" w:color="auto"/>
              <w:right w:val="single" w:sz="4" w:space="0" w:color="auto"/>
            </w:tcBorders>
            <w:shd w:val="clear" w:color="auto" w:fill="auto"/>
            <w:noWrap/>
            <w:vAlign w:val="bottom"/>
            <w:hideMark/>
          </w:tcPr>
          <w:p w14:paraId="6E7AFD17"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128</w:t>
            </w:r>
          </w:p>
        </w:tc>
        <w:tc>
          <w:tcPr>
            <w:tcW w:w="2127" w:type="dxa"/>
            <w:tcBorders>
              <w:top w:val="nil"/>
              <w:left w:val="nil"/>
              <w:bottom w:val="single" w:sz="4" w:space="0" w:color="auto"/>
              <w:right w:val="single" w:sz="4" w:space="0" w:color="auto"/>
            </w:tcBorders>
            <w:shd w:val="clear" w:color="auto" w:fill="auto"/>
            <w:noWrap/>
            <w:vAlign w:val="bottom"/>
            <w:hideMark/>
          </w:tcPr>
          <w:p w14:paraId="7F4C4B12"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$6.6m</w:t>
            </w:r>
          </w:p>
        </w:tc>
      </w:tr>
      <w:tr w:rsidR="00EE33A3" w:rsidRPr="00AD751F" w14:paraId="268D244A" w14:textId="77777777" w:rsidTr="004046F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E91E326" w14:textId="77777777" w:rsidR="00EE33A3" w:rsidRPr="00AD751F" w:rsidRDefault="00EE33A3" w:rsidP="004046F0">
            <w:pPr>
              <w:rPr>
                <w:rFonts w:ascii="Arial" w:hAnsi="Arial" w:cs="Arial"/>
                <w:color w:val="000000"/>
                <w:szCs w:val="24"/>
                <w:lang w:eastAsia="en-AU"/>
              </w:rPr>
            </w:pPr>
            <w:r w:rsidRPr="00AD751F">
              <w:rPr>
                <w:rFonts w:ascii="Arial" w:hAnsi="Arial" w:cs="Arial"/>
                <w:color w:val="000000"/>
                <w:szCs w:val="24"/>
                <w:lang w:eastAsia="en-AU"/>
              </w:rPr>
              <w:t>Burns and other</w:t>
            </w:r>
          </w:p>
        </w:tc>
        <w:tc>
          <w:tcPr>
            <w:tcW w:w="2268" w:type="dxa"/>
            <w:tcBorders>
              <w:top w:val="nil"/>
              <w:left w:val="nil"/>
              <w:bottom w:val="single" w:sz="4" w:space="0" w:color="auto"/>
              <w:right w:val="single" w:sz="4" w:space="0" w:color="auto"/>
            </w:tcBorders>
            <w:shd w:val="clear" w:color="auto" w:fill="auto"/>
            <w:noWrap/>
            <w:vAlign w:val="bottom"/>
            <w:hideMark/>
          </w:tcPr>
          <w:p w14:paraId="3DC41A8C"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442</w:t>
            </w:r>
          </w:p>
        </w:tc>
        <w:tc>
          <w:tcPr>
            <w:tcW w:w="2127" w:type="dxa"/>
            <w:tcBorders>
              <w:top w:val="nil"/>
              <w:left w:val="nil"/>
              <w:bottom w:val="single" w:sz="4" w:space="0" w:color="auto"/>
              <w:right w:val="single" w:sz="4" w:space="0" w:color="auto"/>
            </w:tcBorders>
            <w:shd w:val="clear" w:color="auto" w:fill="auto"/>
            <w:noWrap/>
            <w:vAlign w:val="bottom"/>
            <w:hideMark/>
          </w:tcPr>
          <w:p w14:paraId="273B3C83"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$7.5m</w:t>
            </w:r>
          </w:p>
        </w:tc>
      </w:tr>
    </w:tbl>
    <w:p w14:paraId="0FB5F54A" w14:textId="2ED67D04" w:rsidR="00EE33A3" w:rsidRPr="00D41D88" w:rsidRDefault="00EE33A3" w:rsidP="00AD751F">
      <w:pPr>
        <w:jc w:val="left"/>
        <w:rPr>
          <w:rFonts w:ascii="Arial" w:hAnsi="Arial" w:cs="Arial"/>
          <w:color w:val="000000"/>
          <w:szCs w:val="24"/>
          <w:lang w:eastAsia="en-AU"/>
        </w:rPr>
      </w:pPr>
      <w:r w:rsidRPr="00AD751F">
        <w:rPr>
          <w:rFonts w:ascii="Arial" w:hAnsi="Arial" w:cs="Arial"/>
          <w:color w:val="000000"/>
          <w:szCs w:val="24"/>
          <w:lang w:val="en-US" w:eastAsia="en-GB"/>
        </w:rPr>
        <w:br/>
      </w:r>
      <w:r w:rsidRPr="00AD751F">
        <w:rPr>
          <w:rFonts w:ascii="Arial" w:hAnsi="Arial" w:cs="Arial"/>
          <w:i/>
          <w:color w:val="000000"/>
          <w:szCs w:val="24"/>
          <w:lang w:eastAsia="en-AU"/>
        </w:rPr>
        <w:t xml:space="preserve">Excludes </w:t>
      </w:r>
      <w:r w:rsidR="00AD751F" w:rsidRPr="00AD751F">
        <w:rPr>
          <w:rFonts w:ascii="Arial" w:hAnsi="Arial" w:cs="Arial"/>
          <w:i/>
          <w:color w:val="000000"/>
          <w:szCs w:val="24"/>
          <w:lang w:eastAsia="en-AU"/>
        </w:rPr>
        <w:t>minor injury claims.</w:t>
      </w:r>
      <w:r>
        <w:rPr>
          <w:rFonts w:ascii="Arial" w:hAnsi="Arial" w:cs="Arial"/>
          <w:i/>
          <w:color w:val="000000"/>
          <w:szCs w:val="24"/>
          <w:lang w:eastAsia="en-AU"/>
        </w:rPr>
        <w:br/>
      </w:r>
    </w:p>
    <w:p w14:paraId="528FD985" w14:textId="77777777" w:rsidR="00EE33A3" w:rsidRDefault="00EE33A3" w:rsidP="00EE33A3">
      <w:pPr>
        <w:pStyle w:val="NoParagraphStyle"/>
        <w:suppressAutoHyphens/>
        <w:spacing w:line="240" w:lineRule="auto"/>
        <w:jc w:val="both"/>
        <w:rPr>
          <w:rFonts w:ascii="Arial" w:hAnsi="Arial" w:cs="Arial"/>
          <w:b/>
          <w:lang w:val="en-US"/>
        </w:rPr>
      </w:pPr>
      <w:r>
        <w:rPr>
          <w:rFonts w:ascii="Arial" w:hAnsi="Arial" w:cs="Arial"/>
          <w:b/>
          <w:lang w:val="en-US"/>
        </w:rPr>
        <w:t>Crash Claim Frequency Trends</w:t>
      </w:r>
    </w:p>
    <w:p w14:paraId="7398A1A6" w14:textId="77777777" w:rsidR="00EE33A3" w:rsidRDefault="00EE33A3" w:rsidP="00EE33A3">
      <w:pPr>
        <w:pStyle w:val="NoParagraphStyle"/>
        <w:suppressAutoHyphens/>
        <w:spacing w:line="240" w:lineRule="auto"/>
        <w:jc w:val="both"/>
        <w:rPr>
          <w:rFonts w:ascii="Arial" w:hAnsi="Arial" w:cs="Arial"/>
          <w:lang w:val="en-US"/>
        </w:rPr>
      </w:pPr>
      <w:r w:rsidRPr="00AE3BAE">
        <w:rPr>
          <w:rFonts w:ascii="Arial" w:hAnsi="Arial" w:cs="Arial"/>
          <w:lang w:val="en-US"/>
        </w:rPr>
        <w:t xml:space="preserve">The number of registered vehicles in WA </w:t>
      </w:r>
      <w:r>
        <w:rPr>
          <w:rFonts w:ascii="Arial" w:hAnsi="Arial" w:cs="Arial"/>
          <w:lang w:val="en-US"/>
        </w:rPr>
        <w:t xml:space="preserve">has </w:t>
      </w:r>
      <w:r w:rsidRPr="00AE3BAE">
        <w:rPr>
          <w:rFonts w:ascii="Arial" w:hAnsi="Arial" w:cs="Arial"/>
          <w:lang w:val="en-US"/>
        </w:rPr>
        <w:t>grow</w:t>
      </w:r>
      <w:r>
        <w:rPr>
          <w:rFonts w:ascii="Arial" w:hAnsi="Arial" w:cs="Arial"/>
          <w:lang w:val="en-US"/>
        </w:rPr>
        <w:t>n</w:t>
      </w:r>
      <w:r w:rsidRPr="00AE3BAE">
        <w:rPr>
          <w:rFonts w:ascii="Arial" w:hAnsi="Arial" w:cs="Arial"/>
          <w:lang w:val="en-US"/>
        </w:rPr>
        <w:t xml:space="preserve"> from 1.6 million in 1998 to 2.9 million in </w:t>
      </w:r>
      <w:r w:rsidRPr="00C214E9">
        <w:rPr>
          <w:rFonts w:ascii="Arial" w:hAnsi="Arial" w:cs="Arial"/>
          <w:lang w:val="en-US"/>
        </w:rPr>
        <w:t>2018. Positive vehicle growth was again maintained during 2018 at 0.9%.</w:t>
      </w:r>
    </w:p>
    <w:p w14:paraId="417E5172" w14:textId="77777777" w:rsidR="00EE33A3" w:rsidRDefault="00EE33A3" w:rsidP="00EE33A3">
      <w:pPr>
        <w:pStyle w:val="NoParagraphStyle"/>
        <w:suppressAutoHyphens/>
        <w:spacing w:line="240" w:lineRule="auto"/>
        <w:jc w:val="both"/>
        <w:rPr>
          <w:rFonts w:ascii="Arial" w:hAnsi="Arial" w:cs="Arial"/>
          <w:lang w:val="en-US"/>
        </w:rPr>
      </w:pPr>
    </w:p>
    <w:p w14:paraId="26074ADF" w14:textId="77777777" w:rsidR="00EE33A3" w:rsidRDefault="00EE33A3" w:rsidP="00EE33A3">
      <w:pPr>
        <w:pStyle w:val="NoParagraphStyle"/>
        <w:suppressAutoHyphens/>
        <w:spacing w:line="240" w:lineRule="auto"/>
        <w:jc w:val="both"/>
        <w:rPr>
          <w:rFonts w:ascii="Arial" w:hAnsi="Arial" w:cs="Arial"/>
          <w:lang w:val="en-US"/>
        </w:rPr>
      </w:pPr>
      <w:r w:rsidRPr="00AE3BAE">
        <w:rPr>
          <w:rFonts w:ascii="Arial" w:hAnsi="Arial" w:cs="Arial"/>
          <w:lang w:val="en-US"/>
        </w:rPr>
        <w:t>In 2018, WA had approximately 15.1% of Australia’s total</w:t>
      </w:r>
      <w:r>
        <w:rPr>
          <w:rFonts w:ascii="Arial" w:hAnsi="Arial" w:cs="Arial"/>
          <w:lang w:val="en-US"/>
        </w:rPr>
        <w:t xml:space="preserve"> number of registered vehicles </w:t>
      </w:r>
      <w:r w:rsidRPr="004F2B69">
        <w:rPr>
          <w:rFonts w:ascii="Arial" w:hAnsi="Arial" w:cs="Arial"/>
          <w:lang w:val="en-US"/>
        </w:rPr>
        <w:t>despite having only 8.6% of the population.</w:t>
      </w:r>
    </w:p>
    <w:p w14:paraId="00D0194B" w14:textId="77777777" w:rsidR="00EE33A3" w:rsidRDefault="00EE33A3" w:rsidP="00EE33A3">
      <w:pPr>
        <w:pStyle w:val="NoParagraphStyle"/>
        <w:suppressAutoHyphens/>
        <w:spacing w:line="240" w:lineRule="auto"/>
        <w:jc w:val="both"/>
        <w:rPr>
          <w:rFonts w:ascii="Arial" w:hAnsi="Arial" w:cs="Arial"/>
          <w:lang w:val="en-US"/>
        </w:rPr>
      </w:pPr>
    </w:p>
    <w:p w14:paraId="4A670246" w14:textId="77777777" w:rsidR="00EE33A3" w:rsidRDefault="00EE33A3" w:rsidP="00EE33A3">
      <w:pPr>
        <w:pStyle w:val="NoParagraphStyle"/>
        <w:suppressAutoHyphens/>
        <w:spacing w:line="240" w:lineRule="auto"/>
        <w:jc w:val="both"/>
        <w:rPr>
          <w:rFonts w:ascii="Arial" w:hAnsi="Arial" w:cs="Arial"/>
          <w:lang w:val="en-US"/>
        </w:rPr>
      </w:pPr>
      <w:r>
        <w:rPr>
          <w:rFonts w:ascii="Arial" w:hAnsi="Arial" w:cs="Arial"/>
          <w:lang w:val="en-US"/>
        </w:rPr>
        <w:t>Despite an increasing number of vehicles on WA roads, the</w:t>
      </w:r>
      <w:r w:rsidRPr="00AE3BAE">
        <w:rPr>
          <w:rFonts w:ascii="Arial" w:hAnsi="Arial" w:cs="Arial"/>
          <w:lang w:val="en-US"/>
        </w:rPr>
        <w:t xml:space="preserve"> number of new motor injury insurance claims continue</w:t>
      </w:r>
      <w:r>
        <w:rPr>
          <w:rFonts w:ascii="Arial" w:hAnsi="Arial" w:cs="Arial"/>
          <w:lang w:val="en-US"/>
        </w:rPr>
        <w:t>s</w:t>
      </w:r>
      <w:r w:rsidRPr="00AE3BAE">
        <w:rPr>
          <w:rFonts w:ascii="Arial" w:hAnsi="Arial" w:cs="Arial"/>
          <w:lang w:val="en-US"/>
        </w:rPr>
        <w:t xml:space="preserve"> to decline from 5,912 in 1998 to 3,</w:t>
      </w:r>
      <w:r>
        <w:rPr>
          <w:rFonts w:ascii="Arial" w:hAnsi="Arial" w:cs="Arial"/>
          <w:lang w:val="en-US"/>
        </w:rPr>
        <w:t>191</w:t>
      </w:r>
      <w:r w:rsidRPr="00AE3BAE">
        <w:rPr>
          <w:rFonts w:ascii="Arial" w:hAnsi="Arial" w:cs="Arial"/>
          <w:lang w:val="en-US"/>
        </w:rPr>
        <w:t xml:space="preserve"> in 2018 (excluding minor injury claims).</w:t>
      </w:r>
      <w:r>
        <w:rPr>
          <w:rFonts w:ascii="Arial" w:hAnsi="Arial" w:cs="Arial"/>
          <w:lang w:val="en-US"/>
        </w:rPr>
        <w:t xml:space="preserve"> This is a key reason why the affordability of motor injury insurance premium rates have been able to be maintained in Western Australia. </w:t>
      </w:r>
    </w:p>
    <w:p w14:paraId="6CCF21D4" w14:textId="77777777" w:rsidR="00EE33A3" w:rsidRDefault="00EE33A3" w:rsidP="00EE33A3">
      <w:pPr>
        <w:pStyle w:val="NoParagraphStyle"/>
        <w:suppressAutoHyphens/>
        <w:spacing w:line="240" w:lineRule="auto"/>
        <w:jc w:val="both"/>
        <w:rPr>
          <w:rFonts w:ascii="Arial" w:hAnsi="Arial" w:cs="Arial"/>
          <w:lang w:val="en-US"/>
        </w:rPr>
      </w:pPr>
    </w:p>
    <w:p w14:paraId="6151A49F" w14:textId="77777777" w:rsidR="00EE33A3" w:rsidRDefault="00EE33A3" w:rsidP="00EE33A3">
      <w:pPr>
        <w:jc w:val="left"/>
        <w:rPr>
          <w:rFonts w:ascii="Arial" w:hAnsi="Arial" w:cs="Arial"/>
          <w:szCs w:val="24"/>
        </w:rPr>
      </w:pPr>
      <w:r>
        <w:rPr>
          <w:rFonts w:ascii="Arial" w:hAnsi="Arial" w:cs="Arial"/>
          <w:lang w:val="en-US"/>
        </w:rPr>
        <w:t xml:space="preserve">During 2018, 31 crashes occurred each day that resulted in motor injury insurance claims. People </w:t>
      </w:r>
      <w:r>
        <w:rPr>
          <w:rFonts w:ascii="Arial" w:hAnsi="Arial" w:cs="Arial"/>
          <w:szCs w:val="24"/>
        </w:rPr>
        <w:t xml:space="preserve">are most likely to be injured in a crash in Western Australia between 3pm and 6pm on any weekday. The table on the next page presents the number of crashes resulting in injury insurance claims and the day of the week they occurred. </w:t>
      </w:r>
    </w:p>
    <w:p w14:paraId="5D5A5E32" w14:textId="77777777" w:rsidR="00EE33A3" w:rsidRDefault="00EE33A3" w:rsidP="00EE33A3">
      <w:pPr>
        <w:pStyle w:val="NoParagraphStyle"/>
        <w:suppressAutoHyphens/>
        <w:spacing w:line="240" w:lineRule="auto"/>
        <w:jc w:val="both"/>
        <w:rPr>
          <w:rFonts w:ascii="Arial" w:hAnsi="Arial" w:cs="Arial"/>
          <w:lang w:val="en-US"/>
        </w:rPr>
      </w:pPr>
    </w:p>
    <w:p w14:paraId="6EDC8A5D" w14:textId="263A2C4E" w:rsidR="00EE33A3" w:rsidRPr="00AD751F" w:rsidRDefault="00AD751F" w:rsidP="00EE33A3">
      <w:pPr>
        <w:pStyle w:val="NoParagraphStyle"/>
        <w:suppressAutoHyphens/>
        <w:spacing w:after="200" w:line="240" w:lineRule="auto"/>
        <w:jc w:val="both"/>
        <w:rPr>
          <w:rFonts w:ascii="Arial" w:hAnsi="Arial" w:cs="Arial"/>
          <w:i/>
          <w:lang w:val="en-US"/>
        </w:rPr>
      </w:pPr>
      <w:r>
        <w:rPr>
          <w:rFonts w:ascii="Arial" w:hAnsi="Arial" w:cs="Arial"/>
          <w:i/>
          <w:lang w:val="en-US"/>
        </w:rPr>
        <w:t>Graph – Vehicle Growth and Claim Numbers in Western Australia’s Motor Injury Insurance S</w:t>
      </w:r>
      <w:r w:rsidR="00EE33A3" w:rsidRPr="00AD751F">
        <w:rPr>
          <w:rFonts w:ascii="Arial" w:hAnsi="Arial" w:cs="Arial"/>
          <w:i/>
          <w:lang w:val="en-US"/>
        </w:rPr>
        <w:t>cheme</w:t>
      </w:r>
    </w:p>
    <w:tbl>
      <w:tblPr>
        <w:tblW w:w="3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457"/>
        <w:gridCol w:w="1200"/>
      </w:tblGrid>
      <w:tr w:rsidR="00EE33A3" w:rsidRPr="00AD751F" w14:paraId="659ACE4A" w14:textId="77777777" w:rsidTr="004046F0">
        <w:trPr>
          <w:trHeight w:val="630"/>
        </w:trPr>
        <w:tc>
          <w:tcPr>
            <w:tcW w:w="1200" w:type="dxa"/>
            <w:shd w:val="clear" w:color="auto" w:fill="auto"/>
            <w:vAlign w:val="bottom"/>
            <w:hideMark/>
          </w:tcPr>
          <w:p w14:paraId="1DB508B3" w14:textId="77777777" w:rsidR="00EE33A3" w:rsidRPr="00AD751F" w:rsidRDefault="00EE33A3" w:rsidP="004046F0">
            <w:pPr>
              <w:rPr>
                <w:rFonts w:ascii="Arial" w:hAnsi="Arial" w:cs="Arial"/>
                <w:b/>
                <w:bCs/>
                <w:color w:val="000000"/>
                <w:szCs w:val="24"/>
                <w:lang w:eastAsia="en-AU"/>
              </w:rPr>
            </w:pPr>
            <w:r w:rsidRPr="00AD751F">
              <w:rPr>
                <w:rFonts w:ascii="Arial" w:hAnsi="Arial" w:cs="Arial"/>
                <w:b/>
                <w:bCs/>
                <w:color w:val="000000"/>
                <w:szCs w:val="24"/>
                <w:lang w:eastAsia="en-AU"/>
              </w:rPr>
              <w:t>Year</w:t>
            </w:r>
          </w:p>
        </w:tc>
        <w:tc>
          <w:tcPr>
            <w:tcW w:w="1457" w:type="dxa"/>
            <w:shd w:val="clear" w:color="auto" w:fill="auto"/>
            <w:vAlign w:val="bottom"/>
            <w:hideMark/>
          </w:tcPr>
          <w:p w14:paraId="451B78B1" w14:textId="77777777" w:rsidR="00EE33A3" w:rsidRPr="00AD751F" w:rsidRDefault="00EE33A3" w:rsidP="004046F0">
            <w:pPr>
              <w:rPr>
                <w:rFonts w:ascii="Arial" w:hAnsi="Arial" w:cs="Arial"/>
                <w:b/>
                <w:bCs/>
                <w:color w:val="000000"/>
                <w:szCs w:val="24"/>
                <w:lang w:eastAsia="en-AU"/>
              </w:rPr>
            </w:pPr>
            <w:r w:rsidRPr="00AD751F">
              <w:rPr>
                <w:rFonts w:ascii="Arial" w:hAnsi="Arial" w:cs="Arial"/>
                <w:b/>
                <w:bCs/>
                <w:color w:val="000000"/>
                <w:szCs w:val="24"/>
                <w:lang w:eastAsia="en-AU"/>
              </w:rPr>
              <w:t>Registered vehicles</w:t>
            </w:r>
          </w:p>
        </w:tc>
        <w:tc>
          <w:tcPr>
            <w:tcW w:w="1200" w:type="dxa"/>
            <w:shd w:val="clear" w:color="auto" w:fill="auto"/>
            <w:vAlign w:val="bottom"/>
            <w:hideMark/>
          </w:tcPr>
          <w:p w14:paraId="49F20AF2" w14:textId="77777777" w:rsidR="00EE33A3" w:rsidRPr="00AD751F" w:rsidRDefault="00EE33A3" w:rsidP="004046F0">
            <w:pPr>
              <w:rPr>
                <w:rFonts w:ascii="Arial" w:hAnsi="Arial" w:cs="Arial"/>
                <w:b/>
                <w:bCs/>
                <w:color w:val="000000"/>
                <w:szCs w:val="24"/>
                <w:lang w:eastAsia="en-AU"/>
              </w:rPr>
            </w:pPr>
            <w:r w:rsidRPr="00AD751F">
              <w:rPr>
                <w:rFonts w:ascii="Arial" w:hAnsi="Arial" w:cs="Arial"/>
                <w:b/>
                <w:bCs/>
                <w:color w:val="000000"/>
                <w:szCs w:val="24"/>
                <w:lang w:eastAsia="en-AU"/>
              </w:rPr>
              <w:t>Claims</w:t>
            </w:r>
          </w:p>
        </w:tc>
      </w:tr>
      <w:tr w:rsidR="00EE33A3" w:rsidRPr="00AD751F" w14:paraId="4D5797B8" w14:textId="77777777" w:rsidTr="004046F0">
        <w:trPr>
          <w:trHeight w:val="300"/>
        </w:trPr>
        <w:tc>
          <w:tcPr>
            <w:tcW w:w="1200" w:type="dxa"/>
            <w:shd w:val="clear" w:color="auto" w:fill="auto"/>
            <w:noWrap/>
            <w:vAlign w:val="bottom"/>
          </w:tcPr>
          <w:p w14:paraId="7EE8C7B1"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1998</w:t>
            </w:r>
          </w:p>
        </w:tc>
        <w:tc>
          <w:tcPr>
            <w:tcW w:w="1457" w:type="dxa"/>
            <w:shd w:val="clear" w:color="auto" w:fill="auto"/>
            <w:noWrap/>
            <w:vAlign w:val="bottom"/>
          </w:tcPr>
          <w:p w14:paraId="4341D733"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1,623,902</w:t>
            </w:r>
          </w:p>
        </w:tc>
        <w:tc>
          <w:tcPr>
            <w:tcW w:w="1200" w:type="dxa"/>
            <w:shd w:val="clear" w:color="auto" w:fill="auto"/>
            <w:noWrap/>
            <w:vAlign w:val="bottom"/>
          </w:tcPr>
          <w:p w14:paraId="4FE989C8"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5,912</w:t>
            </w:r>
          </w:p>
        </w:tc>
      </w:tr>
      <w:tr w:rsidR="00EE33A3" w:rsidRPr="00AD751F" w14:paraId="2E0D9C7D" w14:textId="77777777" w:rsidTr="004046F0">
        <w:trPr>
          <w:trHeight w:val="300"/>
        </w:trPr>
        <w:tc>
          <w:tcPr>
            <w:tcW w:w="1200" w:type="dxa"/>
            <w:shd w:val="clear" w:color="auto" w:fill="auto"/>
            <w:noWrap/>
            <w:vAlign w:val="bottom"/>
          </w:tcPr>
          <w:p w14:paraId="3464546C"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1999</w:t>
            </w:r>
          </w:p>
        </w:tc>
        <w:tc>
          <w:tcPr>
            <w:tcW w:w="1457" w:type="dxa"/>
            <w:shd w:val="clear" w:color="auto" w:fill="auto"/>
            <w:noWrap/>
            <w:vAlign w:val="bottom"/>
          </w:tcPr>
          <w:p w14:paraId="08078044"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1,669,827</w:t>
            </w:r>
          </w:p>
        </w:tc>
        <w:tc>
          <w:tcPr>
            <w:tcW w:w="1200" w:type="dxa"/>
            <w:shd w:val="clear" w:color="auto" w:fill="auto"/>
            <w:noWrap/>
            <w:vAlign w:val="bottom"/>
          </w:tcPr>
          <w:p w14:paraId="22D059B1"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5,558</w:t>
            </w:r>
          </w:p>
        </w:tc>
      </w:tr>
      <w:tr w:rsidR="00EE33A3" w:rsidRPr="00AD751F" w14:paraId="4F31E4B0" w14:textId="77777777" w:rsidTr="004046F0">
        <w:trPr>
          <w:trHeight w:val="300"/>
        </w:trPr>
        <w:tc>
          <w:tcPr>
            <w:tcW w:w="1200" w:type="dxa"/>
            <w:shd w:val="clear" w:color="auto" w:fill="auto"/>
            <w:noWrap/>
            <w:vAlign w:val="bottom"/>
          </w:tcPr>
          <w:p w14:paraId="5B39424C"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2000</w:t>
            </w:r>
          </w:p>
        </w:tc>
        <w:tc>
          <w:tcPr>
            <w:tcW w:w="1457" w:type="dxa"/>
            <w:shd w:val="clear" w:color="auto" w:fill="auto"/>
            <w:noWrap/>
            <w:vAlign w:val="bottom"/>
          </w:tcPr>
          <w:p w14:paraId="3EB1441D"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1,691,250</w:t>
            </w:r>
          </w:p>
        </w:tc>
        <w:tc>
          <w:tcPr>
            <w:tcW w:w="1200" w:type="dxa"/>
            <w:shd w:val="clear" w:color="auto" w:fill="auto"/>
            <w:noWrap/>
            <w:vAlign w:val="bottom"/>
          </w:tcPr>
          <w:p w14:paraId="318ED298"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5,724</w:t>
            </w:r>
          </w:p>
        </w:tc>
      </w:tr>
      <w:tr w:rsidR="00EE33A3" w:rsidRPr="00AD751F" w14:paraId="7BA0BCA7" w14:textId="77777777" w:rsidTr="004046F0">
        <w:trPr>
          <w:trHeight w:val="300"/>
        </w:trPr>
        <w:tc>
          <w:tcPr>
            <w:tcW w:w="1200" w:type="dxa"/>
            <w:shd w:val="clear" w:color="auto" w:fill="auto"/>
            <w:noWrap/>
            <w:vAlign w:val="bottom"/>
          </w:tcPr>
          <w:p w14:paraId="481F1B1D"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2001</w:t>
            </w:r>
          </w:p>
        </w:tc>
        <w:tc>
          <w:tcPr>
            <w:tcW w:w="1457" w:type="dxa"/>
            <w:shd w:val="clear" w:color="auto" w:fill="auto"/>
            <w:noWrap/>
            <w:vAlign w:val="bottom"/>
          </w:tcPr>
          <w:p w14:paraId="6C6005F1"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1,721,548</w:t>
            </w:r>
          </w:p>
        </w:tc>
        <w:tc>
          <w:tcPr>
            <w:tcW w:w="1200" w:type="dxa"/>
            <w:shd w:val="clear" w:color="auto" w:fill="auto"/>
            <w:noWrap/>
            <w:vAlign w:val="bottom"/>
          </w:tcPr>
          <w:p w14:paraId="3AD0E9A9"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5,397</w:t>
            </w:r>
          </w:p>
        </w:tc>
      </w:tr>
      <w:tr w:rsidR="00EE33A3" w:rsidRPr="00AD751F" w14:paraId="30509F32" w14:textId="77777777" w:rsidTr="004046F0">
        <w:trPr>
          <w:trHeight w:val="300"/>
        </w:trPr>
        <w:tc>
          <w:tcPr>
            <w:tcW w:w="1200" w:type="dxa"/>
            <w:shd w:val="clear" w:color="auto" w:fill="auto"/>
            <w:noWrap/>
            <w:vAlign w:val="bottom"/>
          </w:tcPr>
          <w:p w14:paraId="60723EB7"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2002</w:t>
            </w:r>
          </w:p>
        </w:tc>
        <w:tc>
          <w:tcPr>
            <w:tcW w:w="1457" w:type="dxa"/>
            <w:shd w:val="clear" w:color="auto" w:fill="auto"/>
            <w:noWrap/>
            <w:vAlign w:val="bottom"/>
          </w:tcPr>
          <w:p w14:paraId="19DCC9A0"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1,755,979</w:t>
            </w:r>
          </w:p>
        </w:tc>
        <w:tc>
          <w:tcPr>
            <w:tcW w:w="1200" w:type="dxa"/>
            <w:shd w:val="clear" w:color="auto" w:fill="auto"/>
            <w:noWrap/>
            <w:vAlign w:val="bottom"/>
          </w:tcPr>
          <w:p w14:paraId="462FBC1E"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5,259</w:t>
            </w:r>
          </w:p>
        </w:tc>
      </w:tr>
      <w:tr w:rsidR="00EE33A3" w:rsidRPr="00AD751F" w14:paraId="481496B1" w14:textId="77777777" w:rsidTr="004046F0">
        <w:trPr>
          <w:trHeight w:val="300"/>
        </w:trPr>
        <w:tc>
          <w:tcPr>
            <w:tcW w:w="1200" w:type="dxa"/>
            <w:shd w:val="clear" w:color="auto" w:fill="auto"/>
            <w:noWrap/>
            <w:vAlign w:val="bottom"/>
          </w:tcPr>
          <w:p w14:paraId="1FF801E8"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2003</w:t>
            </w:r>
          </w:p>
        </w:tc>
        <w:tc>
          <w:tcPr>
            <w:tcW w:w="1457" w:type="dxa"/>
            <w:shd w:val="clear" w:color="auto" w:fill="auto"/>
            <w:noWrap/>
            <w:vAlign w:val="bottom"/>
          </w:tcPr>
          <w:p w14:paraId="086DD25D"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1,801,443</w:t>
            </w:r>
          </w:p>
        </w:tc>
        <w:tc>
          <w:tcPr>
            <w:tcW w:w="1200" w:type="dxa"/>
            <w:shd w:val="clear" w:color="auto" w:fill="auto"/>
            <w:noWrap/>
            <w:vAlign w:val="bottom"/>
          </w:tcPr>
          <w:p w14:paraId="782BEC49"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5,345</w:t>
            </w:r>
          </w:p>
        </w:tc>
      </w:tr>
      <w:tr w:rsidR="00EE33A3" w:rsidRPr="00AD751F" w14:paraId="7CE8BA73" w14:textId="77777777" w:rsidTr="004046F0">
        <w:trPr>
          <w:trHeight w:val="300"/>
        </w:trPr>
        <w:tc>
          <w:tcPr>
            <w:tcW w:w="1200" w:type="dxa"/>
            <w:shd w:val="clear" w:color="auto" w:fill="auto"/>
            <w:noWrap/>
            <w:vAlign w:val="bottom"/>
          </w:tcPr>
          <w:p w14:paraId="58E5ECF9"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2004</w:t>
            </w:r>
          </w:p>
        </w:tc>
        <w:tc>
          <w:tcPr>
            <w:tcW w:w="1457" w:type="dxa"/>
            <w:shd w:val="clear" w:color="auto" w:fill="auto"/>
            <w:noWrap/>
            <w:vAlign w:val="bottom"/>
          </w:tcPr>
          <w:p w14:paraId="07C10326"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1,858,925</w:t>
            </w:r>
          </w:p>
        </w:tc>
        <w:tc>
          <w:tcPr>
            <w:tcW w:w="1200" w:type="dxa"/>
            <w:shd w:val="clear" w:color="auto" w:fill="auto"/>
            <w:noWrap/>
            <w:vAlign w:val="bottom"/>
          </w:tcPr>
          <w:p w14:paraId="12A2717E"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5,075</w:t>
            </w:r>
          </w:p>
        </w:tc>
      </w:tr>
      <w:tr w:rsidR="00EE33A3" w:rsidRPr="00AD751F" w14:paraId="66BEAB06" w14:textId="77777777" w:rsidTr="004046F0">
        <w:trPr>
          <w:trHeight w:val="300"/>
        </w:trPr>
        <w:tc>
          <w:tcPr>
            <w:tcW w:w="1200" w:type="dxa"/>
            <w:shd w:val="clear" w:color="auto" w:fill="auto"/>
            <w:noWrap/>
            <w:vAlign w:val="bottom"/>
          </w:tcPr>
          <w:p w14:paraId="0745B927"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2005</w:t>
            </w:r>
          </w:p>
        </w:tc>
        <w:tc>
          <w:tcPr>
            <w:tcW w:w="1457" w:type="dxa"/>
            <w:shd w:val="clear" w:color="auto" w:fill="auto"/>
            <w:noWrap/>
            <w:vAlign w:val="bottom"/>
          </w:tcPr>
          <w:p w14:paraId="18DCCBE3"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1,910,312</w:t>
            </w:r>
          </w:p>
        </w:tc>
        <w:tc>
          <w:tcPr>
            <w:tcW w:w="1200" w:type="dxa"/>
            <w:shd w:val="clear" w:color="auto" w:fill="auto"/>
            <w:noWrap/>
            <w:vAlign w:val="bottom"/>
          </w:tcPr>
          <w:p w14:paraId="69867836"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4,949</w:t>
            </w:r>
          </w:p>
        </w:tc>
      </w:tr>
      <w:tr w:rsidR="00EE33A3" w:rsidRPr="00AD751F" w14:paraId="25C97F88" w14:textId="77777777" w:rsidTr="004046F0">
        <w:trPr>
          <w:trHeight w:val="300"/>
        </w:trPr>
        <w:tc>
          <w:tcPr>
            <w:tcW w:w="1200" w:type="dxa"/>
            <w:shd w:val="clear" w:color="auto" w:fill="auto"/>
            <w:noWrap/>
            <w:vAlign w:val="bottom"/>
          </w:tcPr>
          <w:p w14:paraId="3BB3E53D"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2006</w:t>
            </w:r>
          </w:p>
        </w:tc>
        <w:tc>
          <w:tcPr>
            <w:tcW w:w="1457" w:type="dxa"/>
            <w:shd w:val="clear" w:color="auto" w:fill="auto"/>
            <w:noWrap/>
            <w:vAlign w:val="bottom"/>
          </w:tcPr>
          <w:p w14:paraId="7F6E29C0"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1,988,065</w:t>
            </w:r>
          </w:p>
        </w:tc>
        <w:tc>
          <w:tcPr>
            <w:tcW w:w="1200" w:type="dxa"/>
            <w:shd w:val="clear" w:color="auto" w:fill="auto"/>
            <w:noWrap/>
            <w:vAlign w:val="bottom"/>
          </w:tcPr>
          <w:p w14:paraId="4044ADBA"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4,503</w:t>
            </w:r>
          </w:p>
        </w:tc>
      </w:tr>
      <w:tr w:rsidR="00EE33A3" w:rsidRPr="00AD751F" w14:paraId="6719146E" w14:textId="77777777" w:rsidTr="004046F0">
        <w:trPr>
          <w:trHeight w:val="300"/>
        </w:trPr>
        <w:tc>
          <w:tcPr>
            <w:tcW w:w="1200" w:type="dxa"/>
            <w:shd w:val="clear" w:color="auto" w:fill="auto"/>
            <w:noWrap/>
            <w:vAlign w:val="bottom"/>
          </w:tcPr>
          <w:p w14:paraId="3E2E3868"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lastRenderedPageBreak/>
              <w:t>2007</w:t>
            </w:r>
          </w:p>
        </w:tc>
        <w:tc>
          <w:tcPr>
            <w:tcW w:w="1457" w:type="dxa"/>
            <w:shd w:val="clear" w:color="auto" w:fill="auto"/>
            <w:noWrap/>
            <w:vAlign w:val="bottom"/>
          </w:tcPr>
          <w:p w14:paraId="0E36C9DF"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2,092,748</w:t>
            </w:r>
          </w:p>
        </w:tc>
        <w:tc>
          <w:tcPr>
            <w:tcW w:w="1200" w:type="dxa"/>
            <w:shd w:val="clear" w:color="auto" w:fill="auto"/>
            <w:noWrap/>
            <w:vAlign w:val="bottom"/>
          </w:tcPr>
          <w:p w14:paraId="66EB2C8D"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4,175</w:t>
            </w:r>
          </w:p>
        </w:tc>
      </w:tr>
      <w:tr w:rsidR="00EE33A3" w:rsidRPr="00AD751F" w14:paraId="67673B68" w14:textId="77777777" w:rsidTr="004046F0">
        <w:trPr>
          <w:trHeight w:val="300"/>
        </w:trPr>
        <w:tc>
          <w:tcPr>
            <w:tcW w:w="1200" w:type="dxa"/>
            <w:shd w:val="clear" w:color="auto" w:fill="auto"/>
            <w:noWrap/>
            <w:vAlign w:val="bottom"/>
          </w:tcPr>
          <w:p w14:paraId="4831BFCA"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2008</w:t>
            </w:r>
          </w:p>
        </w:tc>
        <w:tc>
          <w:tcPr>
            <w:tcW w:w="1457" w:type="dxa"/>
            <w:shd w:val="clear" w:color="auto" w:fill="auto"/>
            <w:noWrap/>
            <w:vAlign w:val="bottom"/>
          </w:tcPr>
          <w:p w14:paraId="37977D94"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2,196,781</w:t>
            </w:r>
          </w:p>
        </w:tc>
        <w:tc>
          <w:tcPr>
            <w:tcW w:w="1200" w:type="dxa"/>
            <w:shd w:val="clear" w:color="auto" w:fill="auto"/>
            <w:noWrap/>
            <w:vAlign w:val="bottom"/>
          </w:tcPr>
          <w:p w14:paraId="49B95E66"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4,195</w:t>
            </w:r>
          </w:p>
        </w:tc>
      </w:tr>
      <w:tr w:rsidR="00EE33A3" w:rsidRPr="00AD751F" w14:paraId="7806661A" w14:textId="77777777" w:rsidTr="004046F0">
        <w:trPr>
          <w:trHeight w:val="300"/>
        </w:trPr>
        <w:tc>
          <w:tcPr>
            <w:tcW w:w="1200" w:type="dxa"/>
            <w:shd w:val="clear" w:color="auto" w:fill="auto"/>
            <w:noWrap/>
            <w:vAlign w:val="bottom"/>
          </w:tcPr>
          <w:p w14:paraId="7E5EE223"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2009</w:t>
            </w:r>
          </w:p>
        </w:tc>
        <w:tc>
          <w:tcPr>
            <w:tcW w:w="1457" w:type="dxa"/>
            <w:shd w:val="clear" w:color="auto" w:fill="auto"/>
            <w:noWrap/>
            <w:vAlign w:val="bottom"/>
          </w:tcPr>
          <w:p w14:paraId="1916655C"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2,276,803</w:t>
            </w:r>
          </w:p>
        </w:tc>
        <w:tc>
          <w:tcPr>
            <w:tcW w:w="1200" w:type="dxa"/>
            <w:shd w:val="clear" w:color="auto" w:fill="auto"/>
            <w:noWrap/>
            <w:vAlign w:val="bottom"/>
          </w:tcPr>
          <w:p w14:paraId="0B3B2BA7"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4,078</w:t>
            </w:r>
          </w:p>
        </w:tc>
      </w:tr>
      <w:tr w:rsidR="00EE33A3" w:rsidRPr="00AD751F" w14:paraId="4378EDA2" w14:textId="77777777" w:rsidTr="004046F0">
        <w:trPr>
          <w:trHeight w:val="300"/>
        </w:trPr>
        <w:tc>
          <w:tcPr>
            <w:tcW w:w="1200" w:type="dxa"/>
            <w:shd w:val="clear" w:color="auto" w:fill="auto"/>
            <w:noWrap/>
            <w:vAlign w:val="bottom"/>
          </w:tcPr>
          <w:p w14:paraId="2887FBBE"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2010</w:t>
            </w:r>
          </w:p>
        </w:tc>
        <w:tc>
          <w:tcPr>
            <w:tcW w:w="1457" w:type="dxa"/>
            <w:shd w:val="clear" w:color="auto" w:fill="auto"/>
            <w:noWrap/>
            <w:vAlign w:val="bottom"/>
          </w:tcPr>
          <w:p w14:paraId="03D16B17"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2,344,770</w:t>
            </w:r>
          </w:p>
        </w:tc>
        <w:tc>
          <w:tcPr>
            <w:tcW w:w="1200" w:type="dxa"/>
            <w:shd w:val="clear" w:color="auto" w:fill="auto"/>
            <w:noWrap/>
            <w:vAlign w:val="bottom"/>
          </w:tcPr>
          <w:p w14:paraId="1405F446"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4,036</w:t>
            </w:r>
          </w:p>
        </w:tc>
      </w:tr>
      <w:tr w:rsidR="00EE33A3" w:rsidRPr="00AD751F" w14:paraId="2FF917E0" w14:textId="77777777" w:rsidTr="004046F0">
        <w:trPr>
          <w:trHeight w:val="300"/>
        </w:trPr>
        <w:tc>
          <w:tcPr>
            <w:tcW w:w="1200" w:type="dxa"/>
            <w:shd w:val="clear" w:color="auto" w:fill="auto"/>
            <w:noWrap/>
            <w:vAlign w:val="bottom"/>
          </w:tcPr>
          <w:p w14:paraId="11412F47"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2011</w:t>
            </w:r>
          </w:p>
        </w:tc>
        <w:tc>
          <w:tcPr>
            <w:tcW w:w="1457" w:type="dxa"/>
            <w:shd w:val="clear" w:color="auto" w:fill="auto"/>
            <w:noWrap/>
            <w:vAlign w:val="bottom"/>
          </w:tcPr>
          <w:p w14:paraId="0CBF7EF4"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2,425,242</w:t>
            </w:r>
          </w:p>
        </w:tc>
        <w:tc>
          <w:tcPr>
            <w:tcW w:w="1200" w:type="dxa"/>
            <w:shd w:val="clear" w:color="auto" w:fill="auto"/>
            <w:noWrap/>
            <w:vAlign w:val="bottom"/>
          </w:tcPr>
          <w:p w14:paraId="2976070C"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3,885</w:t>
            </w:r>
          </w:p>
        </w:tc>
      </w:tr>
      <w:tr w:rsidR="00EE33A3" w:rsidRPr="00AD751F" w14:paraId="5514BA9E" w14:textId="77777777" w:rsidTr="004046F0">
        <w:trPr>
          <w:trHeight w:val="300"/>
        </w:trPr>
        <w:tc>
          <w:tcPr>
            <w:tcW w:w="1200" w:type="dxa"/>
            <w:shd w:val="clear" w:color="auto" w:fill="auto"/>
            <w:noWrap/>
            <w:vAlign w:val="bottom"/>
          </w:tcPr>
          <w:p w14:paraId="0215AEEA"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2012</w:t>
            </w:r>
          </w:p>
        </w:tc>
        <w:tc>
          <w:tcPr>
            <w:tcW w:w="1457" w:type="dxa"/>
            <w:shd w:val="clear" w:color="auto" w:fill="auto"/>
            <w:noWrap/>
            <w:vAlign w:val="bottom"/>
          </w:tcPr>
          <w:p w14:paraId="14E405E0"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2,514,285</w:t>
            </w:r>
          </w:p>
        </w:tc>
        <w:tc>
          <w:tcPr>
            <w:tcW w:w="1200" w:type="dxa"/>
            <w:shd w:val="clear" w:color="auto" w:fill="auto"/>
            <w:noWrap/>
            <w:vAlign w:val="bottom"/>
          </w:tcPr>
          <w:p w14:paraId="0AC22511"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3,632</w:t>
            </w:r>
          </w:p>
        </w:tc>
      </w:tr>
      <w:tr w:rsidR="00EE33A3" w:rsidRPr="00AD751F" w14:paraId="6B3B9C1D" w14:textId="77777777" w:rsidTr="004046F0">
        <w:trPr>
          <w:trHeight w:val="300"/>
        </w:trPr>
        <w:tc>
          <w:tcPr>
            <w:tcW w:w="1200" w:type="dxa"/>
            <w:shd w:val="clear" w:color="auto" w:fill="auto"/>
            <w:noWrap/>
            <w:vAlign w:val="bottom"/>
          </w:tcPr>
          <w:p w14:paraId="17481724"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2013</w:t>
            </w:r>
          </w:p>
        </w:tc>
        <w:tc>
          <w:tcPr>
            <w:tcW w:w="1457" w:type="dxa"/>
            <w:shd w:val="clear" w:color="auto" w:fill="auto"/>
            <w:noWrap/>
            <w:vAlign w:val="bottom"/>
          </w:tcPr>
          <w:p w14:paraId="43AC8E74"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2,620,471</w:t>
            </w:r>
          </w:p>
        </w:tc>
        <w:tc>
          <w:tcPr>
            <w:tcW w:w="1200" w:type="dxa"/>
            <w:shd w:val="clear" w:color="auto" w:fill="auto"/>
            <w:noWrap/>
            <w:vAlign w:val="bottom"/>
          </w:tcPr>
          <w:p w14:paraId="4DE1D1D4"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3,509</w:t>
            </w:r>
          </w:p>
        </w:tc>
      </w:tr>
      <w:tr w:rsidR="00EE33A3" w:rsidRPr="00AD751F" w14:paraId="1EB39275" w14:textId="77777777" w:rsidTr="004046F0">
        <w:trPr>
          <w:trHeight w:val="300"/>
        </w:trPr>
        <w:tc>
          <w:tcPr>
            <w:tcW w:w="1200" w:type="dxa"/>
            <w:shd w:val="clear" w:color="auto" w:fill="auto"/>
            <w:noWrap/>
            <w:vAlign w:val="bottom"/>
          </w:tcPr>
          <w:p w14:paraId="68E0E62A"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2014</w:t>
            </w:r>
          </w:p>
        </w:tc>
        <w:tc>
          <w:tcPr>
            <w:tcW w:w="1457" w:type="dxa"/>
            <w:shd w:val="clear" w:color="auto" w:fill="auto"/>
            <w:noWrap/>
            <w:vAlign w:val="bottom"/>
          </w:tcPr>
          <w:p w14:paraId="16EACD2D"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2,706,971</w:t>
            </w:r>
          </w:p>
        </w:tc>
        <w:tc>
          <w:tcPr>
            <w:tcW w:w="1200" w:type="dxa"/>
            <w:shd w:val="clear" w:color="auto" w:fill="auto"/>
            <w:noWrap/>
            <w:vAlign w:val="bottom"/>
          </w:tcPr>
          <w:p w14:paraId="48CDEAC0"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3,561</w:t>
            </w:r>
          </w:p>
        </w:tc>
      </w:tr>
      <w:tr w:rsidR="00EE33A3" w:rsidRPr="00AD751F" w14:paraId="62750B70" w14:textId="77777777" w:rsidTr="004046F0">
        <w:trPr>
          <w:trHeight w:val="300"/>
        </w:trPr>
        <w:tc>
          <w:tcPr>
            <w:tcW w:w="1200" w:type="dxa"/>
            <w:shd w:val="clear" w:color="auto" w:fill="auto"/>
            <w:noWrap/>
            <w:vAlign w:val="bottom"/>
          </w:tcPr>
          <w:p w14:paraId="6A0649A6"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2015</w:t>
            </w:r>
          </w:p>
        </w:tc>
        <w:tc>
          <w:tcPr>
            <w:tcW w:w="1457" w:type="dxa"/>
            <w:shd w:val="clear" w:color="auto" w:fill="auto"/>
            <w:noWrap/>
            <w:vAlign w:val="bottom"/>
          </w:tcPr>
          <w:p w14:paraId="0E445986"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2,767,428</w:t>
            </w:r>
          </w:p>
        </w:tc>
        <w:tc>
          <w:tcPr>
            <w:tcW w:w="1200" w:type="dxa"/>
            <w:shd w:val="clear" w:color="auto" w:fill="auto"/>
            <w:noWrap/>
          </w:tcPr>
          <w:p w14:paraId="6F2B1297"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3,478</w:t>
            </w:r>
          </w:p>
        </w:tc>
      </w:tr>
      <w:tr w:rsidR="00EE33A3" w:rsidRPr="00AD751F" w14:paraId="0DD8C96F" w14:textId="77777777" w:rsidTr="004046F0">
        <w:trPr>
          <w:trHeight w:val="300"/>
        </w:trPr>
        <w:tc>
          <w:tcPr>
            <w:tcW w:w="1200" w:type="dxa"/>
            <w:shd w:val="clear" w:color="auto" w:fill="auto"/>
            <w:noWrap/>
            <w:vAlign w:val="bottom"/>
          </w:tcPr>
          <w:p w14:paraId="3F44A6C6"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2016</w:t>
            </w:r>
          </w:p>
        </w:tc>
        <w:tc>
          <w:tcPr>
            <w:tcW w:w="1457" w:type="dxa"/>
            <w:shd w:val="clear" w:color="auto" w:fill="auto"/>
            <w:noWrap/>
            <w:vAlign w:val="bottom"/>
          </w:tcPr>
          <w:p w14:paraId="47BEC0A9"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2,804,703</w:t>
            </w:r>
          </w:p>
        </w:tc>
        <w:tc>
          <w:tcPr>
            <w:tcW w:w="1200" w:type="dxa"/>
            <w:shd w:val="clear" w:color="auto" w:fill="auto"/>
            <w:noWrap/>
          </w:tcPr>
          <w:p w14:paraId="7BF1FF37"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3,029</w:t>
            </w:r>
          </w:p>
        </w:tc>
      </w:tr>
      <w:tr w:rsidR="00EE33A3" w:rsidRPr="00AD751F" w14:paraId="27CBFF81" w14:textId="77777777" w:rsidTr="004046F0">
        <w:trPr>
          <w:trHeight w:val="300"/>
        </w:trPr>
        <w:tc>
          <w:tcPr>
            <w:tcW w:w="1200" w:type="dxa"/>
            <w:shd w:val="clear" w:color="auto" w:fill="auto"/>
            <w:noWrap/>
            <w:vAlign w:val="bottom"/>
          </w:tcPr>
          <w:p w14:paraId="50B462E4"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2017</w:t>
            </w:r>
          </w:p>
        </w:tc>
        <w:tc>
          <w:tcPr>
            <w:tcW w:w="1457" w:type="dxa"/>
            <w:shd w:val="clear" w:color="auto" w:fill="auto"/>
            <w:noWrap/>
            <w:vAlign w:val="bottom"/>
          </w:tcPr>
          <w:p w14:paraId="3342AE2E"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2,865,885</w:t>
            </w:r>
          </w:p>
        </w:tc>
        <w:tc>
          <w:tcPr>
            <w:tcW w:w="1200" w:type="dxa"/>
            <w:shd w:val="clear" w:color="auto" w:fill="auto"/>
            <w:noWrap/>
          </w:tcPr>
          <w:p w14:paraId="2020DD06"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3,396</w:t>
            </w:r>
          </w:p>
        </w:tc>
      </w:tr>
      <w:tr w:rsidR="00EE33A3" w:rsidRPr="00BB3520" w14:paraId="06DDD6EC" w14:textId="77777777" w:rsidTr="004046F0">
        <w:trPr>
          <w:trHeight w:val="300"/>
        </w:trPr>
        <w:tc>
          <w:tcPr>
            <w:tcW w:w="1200" w:type="dxa"/>
            <w:shd w:val="clear" w:color="auto" w:fill="auto"/>
            <w:noWrap/>
            <w:vAlign w:val="bottom"/>
          </w:tcPr>
          <w:p w14:paraId="5815C6E9"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2018</w:t>
            </w:r>
          </w:p>
        </w:tc>
        <w:tc>
          <w:tcPr>
            <w:tcW w:w="1457" w:type="dxa"/>
            <w:shd w:val="clear" w:color="auto" w:fill="auto"/>
            <w:noWrap/>
            <w:vAlign w:val="bottom"/>
          </w:tcPr>
          <w:p w14:paraId="567CCAAF"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2,885,603</w:t>
            </w:r>
          </w:p>
        </w:tc>
        <w:tc>
          <w:tcPr>
            <w:tcW w:w="1200" w:type="dxa"/>
            <w:shd w:val="clear" w:color="auto" w:fill="auto"/>
            <w:noWrap/>
          </w:tcPr>
          <w:p w14:paraId="0C7886F3" w14:textId="77777777" w:rsidR="00EE33A3" w:rsidRPr="00AD751F" w:rsidRDefault="00EE33A3" w:rsidP="004046F0">
            <w:pPr>
              <w:jc w:val="right"/>
              <w:rPr>
                <w:rFonts w:ascii="Arial" w:hAnsi="Arial" w:cs="Arial"/>
                <w:color w:val="000000"/>
                <w:szCs w:val="24"/>
                <w:lang w:eastAsia="en-AU"/>
              </w:rPr>
            </w:pPr>
            <w:r w:rsidRPr="00AD751F">
              <w:rPr>
                <w:rFonts w:ascii="Arial" w:hAnsi="Arial" w:cs="Arial"/>
                <w:color w:val="000000"/>
                <w:szCs w:val="24"/>
                <w:lang w:eastAsia="en-AU"/>
              </w:rPr>
              <w:t>3,226</w:t>
            </w:r>
          </w:p>
        </w:tc>
      </w:tr>
    </w:tbl>
    <w:p w14:paraId="078AC985" w14:textId="77777777" w:rsidR="00EE33A3" w:rsidRDefault="00EE33A3" w:rsidP="00EE33A3">
      <w:pPr>
        <w:jc w:val="left"/>
        <w:rPr>
          <w:rFonts w:ascii="Arial" w:hAnsi="Arial" w:cs="Arial"/>
          <w:szCs w:val="24"/>
        </w:rPr>
      </w:pPr>
    </w:p>
    <w:p w14:paraId="4D3A3311" w14:textId="6057ACE4" w:rsidR="00AD751F" w:rsidRDefault="00AD751F" w:rsidP="00EE33A3">
      <w:pPr>
        <w:jc w:val="left"/>
        <w:rPr>
          <w:rFonts w:ascii="Arial" w:hAnsi="Arial" w:cs="Arial"/>
          <w:i/>
          <w:color w:val="000000"/>
          <w:szCs w:val="24"/>
          <w:lang w:eastAsia="en-AU"/>
        </w:rPr>
      </w:pPr>
      <w:r w:rsidRPr="00AD751F">
        <w:rPr>
          <w:rFonts w:ascii="Arial" w:hAnsi="Arial" w:cs="Arial"/>
          <w:i/>
          <w:color w:val="000000"/>
          <w:szCs w:val="24"/>
          <w:lang w:eastAsia="en-AU"/>
        </w:rPr>
        <w:t>Excludes minor injury claims.</w:t>
      </w:r>
    </w:p>
    <w:p w14:paraId="1E908DC8" w14:textId="77777777" w:rsidR="00AD751F" w:rsidRDefault="00AD751F" w:rsidP="00EE33A3">
      <w:pPr>
        <w:jc w:val="left"/>
        <w:rPr>
          <w:rFonts w:ascii="Arial" w:hAnsi="Arial" w:cs="Arial"/>
          <w:szCs w:val="24"/>
        </w:rPr>
      </w:pPr>
    </w:p>
    <w:p w14:paraId="5E4B1955" w14:textId="77777777" w:rsidR="00AD751F" w:rsidRPr="00AD751F" w:rsidRDefault="00AD751F" w:rsidP="00AD751F">
      <w:pPr>
        <w:jc w:val="left"/>
        <w:rPr>
          <w:rFonts w:ascii="Arial" w:hAnsi="Arial" w:cs="Arial"/>
          <w:i/>
          <w:szCs w:val="24"/>
        </w:rPr>
      </w:pPr>
      <w:r w:rsidRPr="00AD751F">
        <w:rPr>
          <w:rFonts w:ascii="Arial" w:hAnsi="Arial" w:cs="Arial"/>
          <w:i/>
          <w:szCs w:val="24"/>
        </w:rPr>
        <w:t>Infographic - Daily Breakdown of Crashes resulting in Motor Injury Claims in 2018</w:t>
      </w:r>
    </w:p>
    <w:p w14:paraId="0217C2F3" w14:textId="77777777" w:rsidR="00AD751F" w:rsidRPr="00AD751F" w:rsidRDefault="00AD751F" w:rsidP="00AD751F">
      <w:pPr>
        <w:jc w:val="left"/>
        <w:rPr>
          <w:rFonts w:ascii="Arial" w:hAnsi="Arial" w:cs="Arial"/>
          <w:szCs w:val="24"/>
        </w:rPr>
      </w:pPr>
    </w:p>
    <w:tbl>
      <w:tblPr>
        <w:tblStyle w:val="TableGrid"/>
        <w:tblW w:w="0" w:type="auto"/>
        <w:tblLook w:val="04A0" w:firstRow="1" w:lastRow="0" w:firstColumn="1" w:lastColumn="0" w:noHBand="0" w:noVBand="1"/>
      </w:tblPr>
      <w:tblGrid>
        <w:gridCol w:w="1232"/>
        <w:gridCol w:w="897"/>
        <w:gridCol w:w="928"/>
        <w:gridCol w:w="981"/>
        <w:gridCol w:w="1264"/>
        <w:gridCol w:w="1065"/>
        <w:gridCol w:w="782"/>
        <w:gridCol w:w="1023"/>
        <w:gridCol w:w="844"/>
      </w:tblGrid>
      <w:tr w:rsidR="00AD751F" w:rsidRPr="00AD751F" w14:paraId="0CC313B4" w14:textId="77777777" w:rsidTr="00AD751F">
        <w:trPr>
          <w:trHeight w:val="315"/>
        </w:trPr>
        <w:tc>
          <w:tcPr>
            <w:tcW w:w="1199" w:type="dxa"/>
            <w:noWrap/>
            <w:hideMark/>
          </w:tcPr>
          <w:p w14:paraId="649E9B6C" w14:textId="77777777" w:rsidR="00AD751F" w:rsidRPr="00AD751F" w:rsidRDefault="00AD751F" w:rsidP="00AD751F">
            <w:pPr>
              <w:jc w:val="left"/>
              <w:rPr>
                <w:rFonts w:ascii="Arial" w:hAnsi="Arial" w:cs="Arial"/>
                <w:szCs w:val="24"/>
              </w:rPr>
            </w:pPr>
            <w:r w:rsidRPr="00AD751F">
              <w:rPr>
                <w:rFonts w:ascii="Arial" w:hAnsi="Arial" w:cs="Arial"/>
                <w:szCs w:val="24"/>
              </w:rPr>
              <w:t> </w:t>
            </w:r>
          </w:p>
        </w:tc>
        <w:tc>
          <w:tcPr>
            <w:tcW w:w="876" w:type="dxa"/>
            <w:noWrap/>
            <w:hideMark/>
          </w:tcPr>
          <w:p w14:paraId="33BD7274" w14:textId="24C263F1" w:rsidR="00AD751F" w:rsidRPr="00AD751F" w:rsidRDefault="00AD751F" w:rsidP="00AD751F">
            <w:pPr>
              <w:jc w:val="left"/>
              <w:rPr>
                <w:rFonts w:ascii="Arial" w:hAnsi="Arial" w:cs="Arial"/>
                <w:b/>
                <w:bCs/>
                <w:szCs w:val="24"/>
              </w:rPr>
            </w:pPr>
            <w:r w:rsidRPr="00AD751F">
              <w:rPr>
                <w:rFonts w:ascii="Arial" w:hAnsi="Arial" w:cs="Arial"/>
                <w:b/>
                <w:bCs/>
                <w:szCs w:val="24"/>
              </w:rPr>
              <w:t>Sunday</w:t>
            </w:r>
          </w:p>
        </w:tc>
        <w:tc>
          <w:tcPr>
            <w:tcW w:w="906" w:type="dxa"/>
            <w:noWrap/>
            <w:hideMark/>
          </w:tcPr>
          <w:p w14:paraId="05DC8C0F" w14:textId="77777777" w:rsidR="00AD751F" w:rsidRPr="00AD751F" w:rsidRDefault="00AD751F" w:rsidP="00AD751F">
            <w:pPr>
              <w:jc w:val="left"/>
              <w:rPr>
                <w:rFonts w:ascii="Arial" w:hAnsi="Arial" w:cs="Arial"/>
                <w:b/>
                <w:bCs/>
                <w:szCs w:val="24"/>
              </w:rPr>
            </w:pPr>
            <w:r w:rsidRPr="00AD751F">
              <w:rPr>
                <w:rFonts w:ascii="Arial" w:hAnsi="Arial" w:cs="Arial"/>
                <w:b/>
                <w:bCs/>
                <w:szCs w:val="24"/>
              </w:rPr>
              <w:t>Monday</w:t>
            </w:r>
          </w:p>
        </w:tc>
        <w:tc>
          <w:tcPr>
            <w:tcW w:w="957" w:type="dxa"/>
            <w:noWrap/>
            <w:hideMark/>
          </w:tcPr>
          <w:p w14:paraId="78F5CC99" w14:textId="77777777" w:rsidR="00AD751F" w:rsidRPr="00AD751F" w:rsidRDefault="00AD751F" w:rsidP="00AD751F">
            <w:pPr>
              <w:jc w:val="left"/>
              <w:rPr>
                <w:rFonts w:ascii="Arial" w:hAnsi="Arial" w:cs="Arial"/>
                <w:b/>
                <w:bCs/>
                <w:szCs w:val="24"/>
              </w:rPr>
            </w:pPr>
            <w:r w:rsidRPr="00AD751F">
              <w:rPr>
                <w:rFonts w:ascii="Arial" w:hAnsi="Arial" w:cs="Arial"/>
                <w:b/>
                <w:bCs/>
                <w:szCs w:val="24"/>
              </w:rPr>
              <w:t>Tuesday</w:t>
            </w:r>
          </w:p>
        </w:tc>
        <w:tc>
          <w:tcPr>
            <w:tcW w:w="1231" w:type="dxa"/>
            <w:noWrap/>
            <w:hideMark/>
          </w:tcPr>
          <w:p w14:paraId="08B70FC8" w14:textId="77777777" w:rsidR="00AD751F" w:rsidRPr="00AD751F" w:rsidRDefault="00AD751F" w:rsidP="00AD751F">
            <w:pPr>
              <w:jc w:val="left"/>
              <w:rPr>
                <w:rFonts w:ascii="Arial" w:hAnsi="Arial" w:cs="Arial"/>
                <w:b/>
                <w:bCs/>
                <w:szCs w:val="24"/>
              </w:rPr>
            </w:pPr>
            <w:r w:rsidRPr="00AD751F">
              <w:rPr>
                <w:rFonts w:ascii="Arial" w:hAnsi="Arial" w:cs="Arial"/>
                <w:b/>
                <w:bCs/>
                <w:szCs w:val="24"/>
              </w:rPr>
              <w:t>Wednesday</w:t>
            </w:r>
          </w:p>
        </w:tc>
        <w:tc>
          <w:tcPr>
            <w:tcW w:w="1038" w:type="dxa"/>
            <w:noWrap/>
            <w:hideMark/>
          </w:tcPr>
          <w:p w14:paraId="71E52B6B" w14:textId="77777777" w:rsidR="00AD751F" w:rsidRPr="00AD751F" w:rsidRDefault="00AD751F" w:rsidP="00AD751F">
            <w:pPr>
              <w:jc w:val="left"/>
              <w:rPr>
                <w:rFonts w:ascii="Arial" w:hAnsi="Arial" w:cs="Arial"/>
                <w:b/>
                <w:bCs/>
                <w:szCs w:val="24"/>
              </w:rPr>
            </w:pPr>
            <w:r w:rsidRPr="00AD751F">
              <w:rPr>
                <w:rFonts w:ascii="Arial" w:hAnsi="Arial" w:cs="Arial"/>
                <w:b/>
                <w:bCs/>
                <w:szCs w:val="24"/>
              </w:rPr>
              <w:t>Thursday</w:t>
            </w:r>
          </w:p>
        </w:tc>
        <w:tc>
          <w:tcPr>
            <w:tcW w:w="765" w:type="dxa"/>
            <w:noWrap/>
            <w:hideMark/>
          </w:tcPr>
          <w:p w14:paraId="7FBF97CF" w14:textId="77777777" w:rsidR="00AD751F" w:rsidRPr="00AD751F" w:rsidRDefault="00AD751F" w:rsidP="00AD751F">
            <w:pPr>
              <w:jc w:val="left"/>
              <w:rPr>
                <w:rFonts w:ascii="Arial" w:hAnsi="Arial" w:cs="Arial"/>
                <w:b/>
                <w:bCs/>
                <w:szCs w:val="24"/>
              </w:rPr>
            </w:pPr>
            <w:r w:rsidRPr="00AD751F">
              <w:rPr>
                <w:rFonts w:ascii="Arial" w:hAnsi="Arial" w:cs="Arial"/>
                <w:b/>
                <w:bCs/>
                <w:szCs w:val="24"/>
              </w:rPr>
              <w:t>Friday</w:t>
            </w:r>
          </w:p>
        </w:tc>
        <w:tc>
          <w:tcPr>
            <w:tcW w:w="998" w:type="dxa"/>
            <w:noWrap/>
            <w:hideMark/>
          </w:tcPr>
          <w:p w14:paraId="742FEEC9" w14:textId="77777777" w:rsidR="00AD751F" w:rsidRPr="00AD751F" w:rsidRDefault="00AD751F" w:rsidP="00AD751F">
            <w:pPr>
              <w:jc w:val="left"/>
              <w:rPr>
                <w:rFonts w:ascii="Arial" w:hAnsi="Arial" w:cs="Arial"/>
                <w:b/>
                <w:bCs/>
                <w:szCs w:val="24"/>
              </w:rPr>
            </w:pPr>
            <w:r w:rsidRPr="00AD751F">
              <w:rPr>
                <w:rFonts w:ascii="Arial" w:hAnsi="Arial" w:cs="Arial"/>
                <w:b/>
                <w:bCs/>
                <w:szCs w:val="24"/>
              </w:rPr>
              <w:t>Saturday</w:t>
            </w:r>
          </w:p>
        </w:tc>
        <w:tc>
          <w:tcPr>
            <w:tcW w:w="825" w:type="dxa"/>
            <w:noWrap/>
            <w:hideMark/>
          </w:tcPr>
          <w:p w14:paraId="6DE88855" w14:textId="77777777" w:rsidR="00AD751F" w:rsidRPr="00AD751F" w:rsidRDefault="00AD751F" w:rsidP="00AD751F">
            <w:pPr>
              <w:jc w:val="left"/>
              <w:rPr>
                <w:rFonts w:ascii="Arial" w:hAnsi="Arial" w:cs="Arial"/>
                <w:b/>
                <w:bCs/>
                <w:szCs w:val="24"/>
              </w:rPr>
            </w:pPr>
            <w:r w:rsidRPr="00AD751F">
              <w:rPr>
                <w:rFonts w:ascii="Arial" w:hAnsi="Arial" w:cs="Arial"/>
                <w:b/>
                <w:bCs/>
                <w:szCs w:val="24"/>
              </w:rPr>
              <w:t>TOTAL</w:t>
            </w:r>
          </w:p>
        </w:tc>
      </w:tr>
      <w:tr w:rsidR="00AD751F" w:rsidRPr="00AD751F" w14:paraId="0049F2A7" w14:textId="77777777" w:rsidTr="00AD751F">
        <w:trPr>
          <w:trHeight w:val="315"/>
        </w:trPr>
        <w:tc>
          <w:tcPr>
            <w:tcW w:w="1199" w:type="dxa"/>
            <w:noWrap/>
            <w:hideMark/>
          </w:tcPr>
          <w:p w14:paraId="32D78661" w14:textId="77777777" w:rsidR="00AD751F" w:rsidRPr="00AD751F" w:rsidRDefault="00AD751F" w:rsidP="00AD751F">
            <w:pPr>
              <w:jc w:val="left"/>
              <w:rPr>
                <w:rFonts w:ascii="Arial" w:hAnsi="Arial" w:cs="Arial"/>
                <w:b/>
                <w:bCs/>
                <w:szCs w:val="24"/>
              </w:rPr>
            </w:pPr>
            <w:r w:rsidRPr="00AD751F">
              <w:rPr>
                <w:rFonts w:ascii="Arial" w:hAnsi="Arial" w:cs="Arial"/>
                <w:b/>
                <w:bCs/>
                <w:szCs w:val="24"/>
              </w:rPr>
              <w:t>Number of Crashes</w:t>
            </w:r>
          </w:p>
        </w:tc>
        <w:tc>
          <w:tcPr>
            <w:tcW w:w="876" w:type="dxa"/>
            <w:noWrap/>
            <w:hideMark/>
          </w:tcPr>
          <w:p w14:paraId="114B149A" w14:textId="7BB6B5F9" w:rsidR="00AD751F" w:rsidRPr="00AD751F" w:rsidRDefault="00AD751F" w:rsidP="00AD751F">
            <w:pPr>
              <w:jc w:val="left"/>
              <w:rPr>
                <w:rFonts w:ascii="Arial" w:hAnsi="Arial" w:cs="Arial"/>
                <w:szCs w:val="24"/>
              </w:rPr>
            </w:pPr>
            <w:r w:rsidRPr="00AD751F">
              <w:rPr>
                <w:rFonts w:ascii="Arial" w:hAnsi="Arial" w:cs="Arial"/>
                <w:szCs w:val="24"/>
              </w:rPr>
              <w:t>1,098</w:t>
            </w:r>
          </w:p>
        </w:tc>
        <w:tc>
          <w:tcPr>
            <w:tcW w:w="906" w:type="dxa"/>
            <w:noWrap/>
            <w:hideMark/>
          </w:tcPr>
          <w:p w14:paraId="086217DD" w14:textId="77777777" w:rsidR="00AD751F" w:rsidRPr="00AD751F" w:rsidRDefault="00AD751F" w:rsidP="00AD751F">
            <w:pPr>
              <w:jc w:val="left"/>
              <w:rPr>
                <w:rFonts w:ascii="Arial" w:hAnsi="Arial" w:cs="Arial"/>
                <w:szCs w:val="24"/>
              </w:rPr>
            </w:pPr>
            <w:r w:rsidRPr="00AD751F">
              <w:rPr>
                <w:rFonts w:ascii="Arial" w:hAnsi="Arial" w:cs="Arial"/>
                <w:szCs w:val="24"/>
              </w:rPr>
              <w:t>1,588</w:t>
            </w:r>
          </w:p>
        </w:tc>
        <w:tc>
          <w:tcPr>
            <w:tcW w:w="957" w:type="dxa"/>
            <w:noWrap/>
            <w:hideMark/>
          </w:tcPr>
          <w:p w14:paraId="363A2A70" w14:textId="77777777" w:rsidR="00AD751F" w:rsidRPr="00AD751F" w:rsidRDefault="00AD751F" w:rsidP="00AD751F">
            <w:pPr>
              <w:jc w:val="left"/>
              <w:rPr>
                <w:rFonts w:ascii="Arial" w:hAnsi="Arial" w:cs="Arial"/>
                <w:szCs w:val="24"/>
              </w:rPr>
            </w:pPr>
            <w:r w:rsidRPr="00AD751F">
              <w:rPr>
                <w:rFonts w:ascii="Arial" w:hAnsi="Arial" w:cs="Arial"/>
                <w:szCs w:val="24"/>
              </w:rPr>
              <w:t>1,807</w:t>
            </w:r>
          </w:p>
        </w:tc>
        <w:tc>
          <w:tcPr>
            <w:tcW w:w="1231" w:type="dxa"/>
            <w:noWrap/>
            <w:hideMark/>
          </w:tcPr>
          <w:p w14:paraId="707AEA85" w14:textId="77777777" w:rsidR="00AD751F" w:rsidRPr="00AD751F" w:rsidRDefault="00AD751F" w:rsidP="00AD751F">
            <w:pPr>
              <w:jc w:val="left"/>
              <w:rPr>
                <w:rFonts w:ascii="Arial" w:hAnsi="Arial" w:cs="Arial"/>
                <w:szCs w:val="24"/>
              </w:rPr>
            </w:pPr>
            <w:r w:rsidRPr="00AD751F">
              <w:rPr>
                <w:rFonts w:ascii="Arial" w:hAnsi="Arial" w:cs="Arial"/>
                <w:szCs w:val="24"/>
              </w:rPr>
              <w:t>1,720</w:t>
            </w:r>
          </w:p>
        </w:tc>
        <w:tc>
          <w:tcPr>
            <w:tcW w:w="1038" w:type="dxa"/>
            <w:noWrap/>
            <w:hideMark/>
          </w:tcPr>
          <w:p w14:paraId="3683D65F" w14:textId="77777777" w:rsidR="00AD751F" w:rsidRPr="00AD751F" w:rsidRDefault="00AD751F" w:rsidP="00AD751F">
            <w:pPr>
              <w:jc w:val="left"/>
              <w:rPr>
                <w:rFonts w:ascii="Arial" w:hAnsi="Arial" w:cs="Arial"/>
                <w:szCs w:val="24"/>
              </w:rPr>
            </w:pPr>
            <w:r w:rsidRPr="00AD751F">
              <w:rPr>
                <w:rFonts w:ascii="Arial" w:hAnsi="Arial" w:cs="Arial"/>
                <w:szCs w:val="24"/>
              </w:rPr>
              <w:t>1,844</w:t>
            </w:r>
          </w:p>
        </w:tc>
        <w:tc>
          <w:tcPr>
            <w:tcW w:w="765" w:type="dxa"/>
            <w:noWrap/>
            <w:hideMark/>
          </w:tcPr>
          <w:p w14:paraId="7AC3BD45" w14:textId="77777777" w:rsidR="00AD751F" w:rsidRPr="00AD751F" w:rsidRDefault="00AD751F" w:rsidP="00AD751F">
            <w:pPr>
              <w:jc w:val="left"/>
              <w:rPr>
                <w:rFonts w:ascii="Arial" w:hAnsi="Arial" w:cs="Arial"/>
                <w:szCs w:val="24"/>
              </w:rPr>
            </w:pPr>
            <w:r w:rsidRPr="00AD751F">
              <w:rPr>
                <w:rFonts w:ascii="Arial" w:hAnsi="Arial" w:cs="Arial"/>
                <w:szCs w:val="24"/>
              </w:rPr>
              <w:t>1,828</w:t>
            </w:r>
          </w:p>
        </w:tc>
        <w:tc>
          <w:tcPr>
            <w:tcW w:w="998" w:type="dxa"/>
            <w:noWrap/>
            <w:hideMark/>
          </w:tcPr>
          <w:p w14:paraId="4240FA33" w14:textId="77777777" w:rsidR="00AD751F" w:rsidRPr="00AD751F" w:rsidRDefault="00AD751F" w:rsidP="00AD751F">
            <w:pPr>
              <w:jc w:val="left"/>
              <w:rPr>
                <w:rFonts w:ascii="Arial" w:hAnsi="Arial" w:cs="Arial"/>
                <w:szCs w:val="24"/>
              </w:rPr>
            </w:pPr>
            <w:r w:rsidRPr="00AD751F">
              <w:rPr>
                <w:rFonts w:ascii="Arial" w:hAnsi="Arial" w:cs="Arial"/>
                <w:szCs w:val="24"/>
              </w:rPr>
              <w:t>1,325</w:t>
            </w:r>
          </w:p>
        </w:tc>
        <w:tc>
          <w:tcPr>
            <w:tcW w:w="825" w:type="dxa"/>
            <w:noWrap/>
            <w:hideMark/>
          </w:tcPr>
          <w:p w14:paraId="51CB535D" w14:textId="77777777" w:rsidR="00AD751F" w:rsidRPr="00AD751F" w:rsidRDefault="00AD751F" w:rsidP="00AD751F">
            <w:pPr>
              <w:jc w:val="left"/>
              <w:rPr>
                <w:rFonts w:ascii="Arial" w:hAnsi="Arial" w:cs="Arial"/>
                <w:szCs w:val="24"/>
              </w:rPr>
            </w:pPr>
            <w:r w:rsidRPr="00AD751F">
              <w:rPr>
                <w:rFonts w:ascii="Arial" w:hAnsi="Arial" w:cs="Arial"/>
                <w:szCs w:val="24"/>
              </w:rPr>
              <w:t>11,210</w:t>
            </w:r>
          </w:p>
        </w:tc>
      </w:tr>
      <w:tr w:rsidR="00AD751F" w:rsidRPr="00267AAE" w14:paraId="55EC014B" w14:textId="77777777" w:rsidTr="00AD751F">
        <w:trPr>
          <w:trHeight w:val="315"/>
        </w:trPr>
        <w:tc>
          <w:tcPr>
            <w:tcW w:w="1199" w:type="dxa"/>
            <w:noWrap/>
            <w:hideMark/>
          </w:tcPr>
          <w:p w14:paraId="2FEE984E" w14:textId="77777777" w:rsidR="00AD751F" w:rsidRPr="00AD751F" w:rsidRDefault="00AD751F" w:rsidP="00AD751F">
            <w:pPr>
              <w:jc w:val="left"/>
              <w:rPr>
                <w:rFonts w:ascii="Arial" w:hAnsi="Arial" w:cs="Arial"/>
                <w:b/>
                <w:bCs/>
                <w:szCs w:val="24"/>
              </w:rPr>
            </w:pPr>
            <w:r w:rsidRPr="00AD751F">
              <w:rPr>
                <w:rFonts w:ascii="Arial" w:hAnsi="Arial" w:cs="Arial"/>
                <w:b/>
                <w:bCs/>
                <w:szCs w:val="24"/>
              </w:rPr>
              <w:t>Percentage (%)</w:t>
            </w:r>
          </w:p>
        </w:tc>
        <w:tc>
          <w:tcPr>
            <w:tcW w:w="876" w:type="dxa"/>
            <w:noWrap/>
            <w:hideMark/>
          </w:tcPr>
          <w:p w14:paraId="6F55C58C" w14:textId="04EC7786" w:rsidR="00AD751F" w:rsidRPr="00AD751F" w:rsidRDefault="00AD751F" w:rsidP="00AD751F">
            <w:pPr>
              <w:jc w:val="left"/>
              <w:rPr>
                <w:rFonts w:ascii="Arial" w:hAnsi="Arial" w:cs="Arial"/>
                <w:szCs w:val="24"/>
              </w:rPr>
            </w:pPr>
            <w:r w:rsidRPr="00AD751F">
              <w:rPr>
                <w:rFonts w:ascii="Arial" w:hAnsi="Arial" w:cs="Arial"/>
                <w:szCs w:val="24"/>
              </w:rPr>
              <w:t>10%</w:t>
            </w:r>
          </w:p>
        </w:tc>
        <w:tc>
          <w:tcPr>
            <w:tcW w:w="906" w:type="dxa"/>
            <w:noWrap/>
            <w:hideMark/>
          </w:tcPr>
          <w:p w14:paraId="48887296" w14:textId="77777777" w:rsidR="00AD751F" w:rsidRPr="00AD751F" w:rsidRDefault="00AD751F" w:rsidP="00AD751F">
            <w:pPr>
              <w:jc w:val="left"/>
              <w:rPr>
                <w:rFonts w:ascii="Arial" w:hAnsi="Arial" w:cs="Arial"/>
                <w:szCs w:val="24"/>
              </w:rPr>
            </w:pPr>
            <w:r w:rsidRPr="00AD751F">
              <w:rPr>
                <w:rFonts w:ascii="Arial" w:hAnsi="Arial" w:cs="Arial"/>
                <w:szCs w:val="24"/>
              </w:rPr>
              <w:t>14%</w:t>
            </w:r>
          </w:p>
        </w:tc>
        <w:tc>
          <w:tcPr>
            <w:tcW w:w="957" w:type="dxa"/>
            <w:noWrap/>
            <w:hideMark/>
          </w:tcPr>
          <w:p w14:paraId="35A0BF88" w14:textId="77777777" w:rsidR="00AD751F" w:rsidRPr="00AD751F" w:rsidRDefault="00AD751F" w:rsidP="00AD751F">
            <w:pPr>
              <w:jc w:val="left"/>
              <w:rPr>
                <w:rFonts w:ascii="Arial" w:hAnsi="Arial" w:cs="Arial"/>
                <w:szCs w:val="24"/>
              </w:rPr>
            </w:pPr>
            <w:r w:rsidRPr="00AD751F">
              <w:rPr>
                <w:rFonts w:ascii="Arial" w:hAnsi="Arial" w:cs="Arial"/>
                <w:szCs w:val="24"/>
              </w:rPr>
              <w:t>16%</w:t>
            </w:r>
          </w:p>
        </w:tc>
        <w:tc>
          <w:tcPr>
            <w:tcW w:w="1231" w:type="dxa"/>
            <w:noWrap/>
            <w:hideMark/>
          </w:tcPr>
          <w:p w14:paraId="72E0927B" w14:textId="77777777" w:rsidR="00AD751F" w:rsidRPr="00AD751F" w:rsidRDefault="00AD751F" w:rsidP="00AD751F">
            <w:pPr>
              <w:jc w:val="left"/>
              <w:rPr>
                <w:rFonts w:ascii="Arial" w:hAnsi="Arial" w:cs="Arial"/>
                <w:szCs w:val="24"/>
              </w:rPr>
            </w:pPr>
            <w:r w:rsidRPr="00AD751F">
              <w:rPr>
                <w:rFonts w:ascii="Arial" w:hAnsi="Arial" w:cs="Arial"/>
                <w:szCs w:val="24"/>
              </w:rPr>
              <w:t>15%</w:t>
            </w:r>
          </w:p>
        </w:tc>
        <w:tc>
          <w:tcPr>
            <w:tcW w:w="1038" w:type="dxa"/>
            <w:noWrap/>
            <w:hideMark/>
          </w:tcPr>
          <w:p w14:paraId="2C605CDD" w14:textId="77777777" w:rsidR="00AD751F" w:rsidRPr="00AD751F" w:rsidRDefault="00AD751F" w:rsidP="00AD751F">
            <w:pPr>
              <w:jc w:val="left"/>
              <w:rPr>
                <w:rFonts w:ascii="Arial" w:hAnsi="Arial" w:cs="Arial"/>
                <w:szCs w:val="24"/>
              </w:rPr>
            </w:pPr>
            <w:r w:rsidRPr="00AD751F">
              <w:rPr>
                <w:rFonts w:ascii="Arial" w:hAnsi="Arial" w:cs="Arial"/>
                <w:szCs w:val="24"/>
              </w:rPr>
              <w:t>17%</w:t>
            </w:r>
          </w:p>
        </w:tc>
        <w:tc>
          <w:tcPr>
            <w:tcW w:w="765" w:type="dxa"/>
            <w:noWrap/>
            <w:hideMark/>
          </w:tcPr>
          <w:p w14:paraId="07D75E95" w14:textId="77777777" w:rsidR="00AD751F" w:rsidRPr="00AD751F" w:rsidRDefault="00AD751F" w:rsidP="00AD751F">
            <w:pPr>
              <w:jc w:val="left"/>
              <w:rPr>
                <w:rFonts w:ascii="Arial" w:hAnsi="Arial" w:cs="Arial"/>
                <w:szCs w:val="24"/>
              </w:rPr>
            </w:pPr>
            <w:r w:rsidRPr="00AD751F">
              <w:rPr>
                <w:rFonts w:ascii="Arial" w:hAnsi="Arial" w:cs="Arial"/>
                <w:szCs w:val="24"/>
              </w:rPr>
              <w:t>16%</w:t>
            </w:r>
          </w:p>
        </w:tc>
        <w:tc>
          <w:tcPr>
            <w:tcW w:w="998" w:type="dxa"/>
            <w:noWrap/>
            <w:hideMark/>
          </w:tcPr>
          <w:p w14:paraId="6C543ADD" w14:textId="77777777" w:rsidR="00AD751F" w:rsidRPr="00AD751F" w:rsidRDefault="00AD751F" w:rsidP="00AD751F">
            <w:pPr>
              <w:jc w:val="left"/>
              <w:rPr>
                <w:rFonts w:ascii="Arial" w:hAnsi="Arial" w:cs="Arial"/>
                <w:szCs w:val="24"/>
              </w:rPr>
            </w:pPr>
            <w:r w:rsidRPr="00AD751F">
              <w:rPr>
                <w:rFonts w:ascii="Arial" w:hAnsi="Arial" w:cs="Arial"/>
                <w:szCs w:val="24"/>
              </w:rPr>
              <w:t>12%</w:t>
            </w:r>
          </w:p>
        </w:tc>
        <w:tc>
          <w:tcPr>
            <w:tcW w:w="825" w:type="dxa"/>
            <w:noWrap/>
            <w:hideMark/>
          </w:tcPr>
          <w:p w14:paraId="76632E16" w14:textId="77777777" w:rsidR="00AD751F" w:rsidRPr="00AD751F" w:rsidRDefault="00AD751F" w:rsidP="00AD751F">
            <w:pPr>
              <w:jc w:val="left"/>
              <w:rPr>
                <w:rFonts w:ascii="Arial" w:hAnsi="Arial" w:cs="Arial"/>
                <w:szCs w:val="24"/>
              </w:rPr>
            </w:pPr>
            <w:r w:rsidRPr="00AD751F">
              <w:rPr>
                <w:rFonts w:ascii="Arial" w:hAnsi="Arial" w:cs="Arial"/>
                <w:szCs w:val="24"/>
              </w:rPr>
              <w:t>100%</w:t>
            </w:r>
          </w:p>
        </w:tc>
      </w:tr>
    </w:tbl>
    <w:p w14:paraId="4CC5E0BA" w14:textId="77777777" w:rsidR="00AD751F" w:rsidRDefault="00AD751F" w:rsidP="00EE33A3">
      <w:pPr>
        <w:jc w:val="left"/>
        <w:rPr>
          <w:rFonts w:ascii="Arial" w:hAnsi="Arial" w:cs="Arial"/>
          <w:szCs w:val="24"/>
        </w:rPr>
      </w:pPr>
    </w:p>
    <w:p w14:paraId="7261A61D" w14:textId="77777777" w:rsidR="00EE33A3" w:rsidRDefault="00EE33A3" w:rsidP="00EE33A3">
      <w:pPr>
        <w:jc w:val="left"/>
        <w:rPr>
          <w:rFonts w:ascii="Arial" w:hAnsi="Arial" w:cs="Arial"/>
          <w:szCs w:val="24"/>
        </w:rPr>
      </w:pPr>
    </w:p>
    <w:p w14:paraId="272EAC95" w14:textId="77777777" w:rsidR="00EE33A3" w:rsidRPr="00AD751F" w:rsidRDefault="00EE33A3" w:rsidP="00AD751F">
      <w:pPr>
        <w:pStyle w:val="ARHeading3"/>
        <w:pBdr>
          <w:top w:val="single" w:sz="4" w:space="1" w:color="auto"/>
          <w:left w:val="single" w:sz="4" w:space="4" w:color="auto"/>
          <w:bottom w:val="single" w:sz="4" w:space="1" w:color="auto"/>
          <w:right w:val="single" w:sz="4" w:space="4" w:color="auto"/>
        </w:pBdr>
      </w:pPr>
      <w:r w:rsidRPr="00AD751F">
        <w:t>Growth of On Demand Vehicles</w:t>
      </w:r>
    </w:p>
    <w:p w14:paraId="449FA852" w14:textId="77777777" w:rsidR="00EE33A3" w:rsidRPr="00AD751F"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p>
    <w:p w14:paraId="3C09239C" w14:textId="77777777" w:rsidR="00EE33A3" w:rsidRPr="00AD751F"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r w:rsidRPr="00AD751F">
        <w:rPr>
          <w:rFonts w:ascii="Arial" w:hAnsi="Arial" w:cs="Arial"/>
          <w:szCs w:val="24"/>
        </w:rPr>
        <w:t xml:space="preserve">There are 20 classes of registered vehicles in Western Australia, with each class matching the type of vehicle, the purpose for which it is used and how we insure these vehicles. </w:t>
      </w:r>
    </w:p>
    <w:p w14:paraId="45A7FEFF" w14:textId="77777777" w:rsidR="00EE33A3" w:rsidRPr="00AD751F"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p>
    <w:p w14:paraId="58EE68FB" w14:textId="77777777" w:rsidR="00EE33A3" w:rsidRPr="00AD751F"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r w:rsidRPr="00AD751F">
        <w:rPr>
          <w:rFonts w:ascii="Arial" w:hAnsi="Arial" w:cs="Arial"/>
          <w:szCs w:val="24"/>
        </w:rPr>
        <w:t xml:space="preserve">Class 3F is for cars used for hire, fare and reward, or more commonly known as ‘on-demand transport’. There are multiple on-demand vehicle companies operating in Western Australia, where passengers can use smartphones to book their trip. </w:t>
      </w:r>
    </w:p>
    <w:p w14:paraId="4D3E580C" w14:textId="77777777" w:rsidR="00EE33A3" w:rsidRPr="00AD751F"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p>
    <w:p w14:paraId="6BC4AFA8" w14:textId="77777777" w:rsidR="00EE33A3" w:rsidRPr="00AD751F"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r w:rsidRPr="00AD751F">
        <w:rPr>
          <w:rFonts w:ascii="Arial" w:hAnsi="Arial" w:cs="Arial"/>
          <w:szCs w:val="24"/>
        </w:rPr>
        <w:t>Since 2013, the number of vehicles registered in Class 3F has increased from 1,162 to 12,132 in 2018, representing 944% growth in five years.</w:t>
      </w:r>
    </w:p>
    <w:p w14:paraId="73939E10" w14:textId="77777777" w:rsidR="00EE33A3" w:rsidRPr="00AD751F"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p>
    <w:p w14:paraId="0123CA85" w14:textId="77777777" w:rsidR="00EE33A3" w:rsidRPr="00AD751F"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r w:rsidRPr="00AD751F">
        <w:rPr>
          <w:rFonts w:ascii="Arial" w:hAnsi="Arial" w:cs="Arial"/>
          <w:szCs w:val="24"/>
        </w:rPr>
        <w:t xml:space="preserve">The Insurance Commission has engaged with the Department of Transport and other stakeholders to ensure on-demand vehicles are being registered in the correct Class 3F. The significant increase in the vehicle numbers in that class suggests the Insurance Commission’s communication efforts have been successful. </w:t>
      </w:r>
    </w:p>
    <w:p w14:paraId="551D09C9" w14:textId="77777777" w:rsidR="00EE33A3" w:rsidRPr="00AD751F"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p>
    <w:p w14:paraId="560D4A12" w14:textId="77777777" w:rsidR="00EE33A3" w:rsidRDefault="00EE33A3" w:rsidP="00AD751F">
      <w:pPr>
        <w:pBdr>
          <w:top w:val="single" w:sz="4" w:space="1" w:color="auto"/>
          <w:left w:val="single" w:sz="4" w:space="4" w:color="auto"/>
          <w:bottom w:val="single" w:sz="4" w:space="1" w:color="auto"/>
          <w:right w:val="single" w:sz="4" w:space="4" w:color="auto"/>
        </w:pBdr>
        <w:jc w:val="left"/>
        <w:rPr>
          <w:rFonts w:ascii="Arial" w:hAnsi="Arial" w:cs="Arial"/>
          <w:szCs w:val="24"/>
        </w:rPr>
      </w:pPr>
      <w:r w:rsidRPr="00AD751F">
        <w:rPr>
          <w:rFonts w:ascii="Arial" w:hAnsi="Arial" w:cs="Arial"/>
          <w:szCs w:val="24"/>
        </w:rPr>
        <w:t>If on-demand vehicles are not registered in Class 3F and are involved in a crash causing injury to others, the driver of the vehicle is responsible for the cost of injuries to others and can be pursued for its repayment.</w:t>
      </w:r>
      <w:r>
        <w:rPr>
          <w:rFonts w:ascii="Arial" w:hAnsi="Arial" w:cs="Arial"/>
          <w:szCs w:val="24"/>
        </w:rPr>
        <w:t xml:space="preserve"> </w:t>
      </w:r>
    </w:p>
    <w:p w14:paraId="56DF88FA" w14:textId="77777777" w:rsidR="00EE33A3" w:rsidRDefault="00EE33A3" w:rsidP="00371A85">
      <w:pPr>
        <w:rPr>
          <w:rFonts w:ascii="Arial" w:hAnsi="Arial" w:cs="Arial"/>
          <w:szCs w:val="24"/>
        </w:rPr>
      </w:pPr>
    </w:p>
    <w:p w14:paraId="2B5B5184" w14:textId="6953123D" w:rsidR="00AD751F" w:rsidRDefault="00AD751F" w:rsidP="00AD751F">
      <w:pPr>
        <w:pStyle w:val="ARHeading3"/>
      </w:pPr>
      <w:r>
        <w:lastRenderedPageBreak/>
        <w:t>3.2.1</w:t>
      </w:r>
      <w:r>
        <w:tab/>
        <w:t>Motor Injury Insurance</w:t>
      </w:r>
    </w:p>
    <w:p w14:paraId="32EF8D78" w14:textId="77777777" w:rsidR="00AD751F" w:rsidRDefault="00AD751F" w:rsidP="00AD751F">
      <w:pPr>
        <w:pStyle w:val="ARHeading3"/>
      </w:pPr>
    </w:p>
    <w:p w14:paraId="2B13103C" w14:textId="5A0984AA" w:rsidR="00AD751F" w:rsidRDefault="00AD751F" w:rsidP="00AD751F">
      <w:pPr>
        <w:pStyle w:val="ARHeading3"/>
        <w:rPr>
          <w:rStyle w:val="Arial12pt"/>
          <w:b w:val="0"/>
        </w:rPr>
      </w:pPr>
      <w:r w:rsidRPr="00AD751F">
        <w:rPr>
          <w:rStyle w:val="Arial12pt"/>
          <w:b w:val="0"/>
        </w:rPr>
        <w:t>Motor Injury Insurance has a combination of efficiency and effectiveness KPIs to measure its performance against the outcomes.</w:t>
      </w:r>
    </w:p>
    <w:p w14:paraId="3A33548D" w14:textId="77777777" w:rsidR="00AD751F" w:rsidRDefault="00AD751F" w:rsidP="00AD751F">
      <w:pPr>
        <w:pStyle w:val="ARHeading3"/>
        <w:rPr>
          <w:rStyle w:val="Arial12pt"/>
          <w:b w:val="0"/>
        </w:rPr>
      </w:pPr>
    </w:p>
    <w:p w14:paraId="5E3F77DE" w14:textId="05FB3FCD" w:rsidR="00AD751F" w:rsidRDefault="00AD751F" w:rsidP="00AD751F">
      <w:pPr>
        <w:pStyle w:val="ARHeading3"/>
        <w:rPr>
          <w:rStyle w:val="Arial12pt"/>
        </w:rPr>
      </w:pPr>
      <w:r w:rsidRPr="00AD751F">
        <w:rPr>
          <w:rStyle w:val="Arial12pt"/>
        </w:rPr>
        <w:t>Outcome A – To ensure the Fund is fully funded</w:t>
      </w:r>
    </w:p>
    <w:p w14:paraId="12CB61FC" w14:textId="77777777" w:rsidR="00AD751F" w:rsidRDefault="00AD751F" w:rsidP="00AD751F">
      <w:pPr>
        <w:pStyle w:val="ARHeading3"/>
        <w:rPr>
          <w:rStyle w:val="Arial12pt"/>
        </w:rPr>
      </w:pPr>
    </w:p>
    <w:p w14:paraId="1F7AB11A" w14:textId="45D431D9" w:rsidR="00AD751F" w:rsidRDefault="00AD751F" w:rsidP="00AD751F">
      <w:pPr>
        <w:pStyle w:val="ARHeading3"/>
        <w:rPr>
          <w:rStyle w:val="Arial12pt"/>
        </w:rPr>
      </w:pPr>
      <w:r>
        <w:rPr>
          <w:rStyle w:val="Arial12pt"/>
        </w:rPr>
        <w:t>Effectiveness Performance Indicator</w:t>
      </w:r>
    </w:p>
    <w:p w14:paraId="40E900E5" w14:textId="77777777" w:rsidR="00AD751F" w:rsidRDefault="00AD751F" w:rsidP="00AD751F">
      <w:pPr>
        <w:pStyle w:val="ARHeading3"/>
        <w:rPr>
          <w:rStyle w:val="Arial12pt"/>
        </w:rPr>
      </w:pPr>
    </w:p>
    <w:p w14:paraId="788937CE" w14:textId="5C0FC9D3" w:rsidR="00AD751F" w:rsidRDefault="00AD751F" w:rsidP="00AD751F">
      <w:pPr>
        <w:pStyle w:val="ARHeading3"/>
        <w:rPr>
          <w:rStyle w:val="Arial12pt"/>
        </w:rPr>
      </w:pPr>
      <w:r>
        <w:rPr>
          <w:rStyle w:val="Arial12pt"/>
        </w:rPr>
        <w:t>Solvency Level (%) – TPIF</w:t>
      </w:r>
    </w:p>
    <w:p w14:paraId="4FCB9A54" w14:textId="77777777" w:rsidR="00D34F48" w:rsidRDefault="00D34F48" w:rsidP="00D34F48">
      <w:pPr>
        <w:pStyle w:val="ARHeading3"/>
        <w:rPr>
          <w:rStyle w:val="Arial12pt"/>
          <w:b w:val="0"/>
        </w:rPr>
      </w:pPr>
      <w:r w:rsidRPr="00D34F48">
        <w:rPr>
          <w:rStyle w:val="Arial12pt"/>
          <w:b w:val="0"/>
        </w:rPr>
        <w:t>This KPI calculates Total Assets as a percentage of Total Liabilities in the Third Party Insurance Fund (TPIF).  This KPI measures the ability of the TPIF to meet its long-term financial obligations as they fall due. The Insurance Commission has a long-term objective to achieve and maintain a solvency level of not less than 125% with a target of 135% for the TPIF.</w:t>
      </w:r>
    </w:p>
    <w:p w14:paraId="175810CD" w14:textId="77777777" w:rsidR="00D34F48" w:rsidRDefault="00D34F48" w:rsidP="00D34F48">
      <w:pPr>
        <w:pStyle w:val="ARHeading3"/>
        <w:rPr>
          <w:rStyle w:val="Arial12pt"/>
          <w:b w:val="0"/>
        </w:rPr>
      </w:pPr>
    </w:p>
    <w:p w14:paraId="27BEC17B" w14:textId="77777777" w:rsidR="00D34F48" w:rsidRDefault="00D34F48" w:rsidP="00D34F48">
      <w:pPr>
        <w:pStyle w:val="ARHeading3"/>
        <w:rPr>
          <w:noProof/>
          <w:lang w:eastAsia="en-AU"/>
        </w:rPr>
      </w:pPr>
      <w:r>
        <w:rPr>
          <w:noProof/>
          <w:lang w:eastAsia="en-AU"/>
        </w:rPr>
        <mc:AlternateContent>
          <mc:Choice Requires="wps">
            <w:drawing>
              <wp:anchor distT="0" distB="0" distL="114300" distR="114300" simplePos="0" relativeHeight="251667456" behindDoc="0" locked="0" layoutInCell="1" allowOverlap="1" wp14:anchorId="2FECA20F" wp14:editId="357B0FD1">
                <wp:simplePos x="0" y="0"/>
                <wp:positionH relativeFrom="column">
                  <wp:posOffset>1585733</wp:posOffset>
                </wp:positionH>
                <wp:positionV relativeFrom="paragraph">
                  <wp:posOffset>1821477</wp:posOffset>
                </wp:positionV>
                <wp:extent cx="4145778" cy="8443"/>
                <wp:effectExtent l="0" t="0" r="26670" b="29845"/>
                <wp:wrapNone/>
                <wp:docPr id="31" name="Straight Connector 20"/>
                <wp:cNvGraphicFramePr/>
                <a:graphic xmlns:a="http://schemas.openxmlformats.org/drawingml/2006/main">
                  <a:graphicData uri="http://schemas.microsoft.com/office/word/2010/wordprocessingShape">
                    <wps:wsp>
                      <wps:cNvCnPr/>
                      <wps:spPr bwMode="auto">
                        <a:xfrm>
                          <a:off x="0" y="0"/>
                          <a:ext cx="4145778" cy="8443"/>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4D87308C" id="Straight Connector 2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85pt,143.4pt" to="451.3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" filled="t" fillcolor="#ff9" strokecolor="#c59f15" strokeweight="2pt"/>
            </w:pict>
          </mc:Fallback>
        </mc:AlternateContent>
      </w:r>
      <w:r w:rsidRPr="00D34F48">
        <w:rPr>
          <w:rStyle w:val="Arial12pt"/>
          <w:b w:val="0"/>
        </w:rPr>
        <w:t>TPIF outstanding claims liabilities are calculated based on a 75% Probability of Sufficiency (</w:t>
      </w:r>
      <w:proofErr w:type="spellStart"/>
      <w:r w:rsidRPr="00D34F48">
        <w:rPr>
          <w:rStyle w:val="Arial12pt"/>
          <w:b w:val="0"/>
        </w:rPr>
        <w:t>PoS</w:t>
      </w:r>
      <w:proofErr w:type="spellEnd"/>
      <w:r w:rsidRPr="00D34F48">
        <w:rPr>
          <w:rStyle w:val="Arial12pt"/>
          <w:b w:val="0"/>
        </w:rPr>
        <w:t xml:space="preserve">). The </w:t>
      </w:r>
      <w:proofErr w:type="spellStart"/>
      <w:r w:rsidRPr="00D34F48">
        <w:rPr>
          <w:rStyle w:val="Arial12pt"/>
          <w:b w:val="0"/>
        </w:rPr>
        <w:t>PoS</w:t>
      </w:r>
      <w:proofErr w:type="spellEnd"/>
      <w:r w:rsidRPr="00D34F48">
        <w:rPr>
          <w:rStyle w:val="Arial12pt"/>
          <w:b w:val="0"/>
        </w:rPr>
        <w:t xml:space="preserve"> takes into account potential uncertainties relating to various actuarial assumptions and statistical modelling techniques. </w:t>
      </w:r>
      <w:r w:rsidRPr="00D34F48">
        <w:rPr>
          <w:rStyle w:val="Arial12pt"/>
          <w:b w:val="0"/>
        </w:rPr>
        <w:tab/>
      </w:r>
      <w:r w:rsidRPr="00D34F48">
        <w:rPr>
          <w:rStyle w:val="Arial12pt"/>
          <w:b w:val="0"/>
        </w:rPr>
        <w:tab/>
      </w:r>
      <w:r w:rsidRPr="00D34F48">
        <w:rPr>
          <w:rStyle w:val="Arial12pt"/>
          <w:b w:val="0"/>
        </w:rPr>
        <w:tab/>
      </w:r>
      <w:r>
        <w:rPr>
          <w:noProof/>
          <w:lang w:eastAsia="en-AU"/>
        </w:rPr>
        <w:drawing>
          <wp:inline distT="0" distB="0" distL="0" distR="0" wp14:anchorId="47B18A22" wp14:editId="73466DC4">
            <wp:extent cx="5731510" cy="3162300"/>
            <wp:effectExtent l="0" t="0" r="254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D34F48">
        <w:rPr>
          <w:noProof/>
          <w:lang w:eastAsia="en-AU"/>
        </w:rPr>
        <w:t xml:space="preserve"> </w:t>
      </w:r>
    </w:p>
    <w:p w14:paraId="1DCD6CC4" w14:textId="77777777" w:rsidR="00D34F48" w:rsidRDefault="00D34F48" w:rsidP="00D34F48">
      <w:pPr>
        <w:pStyle w:val="ARHeading3"/>
        <w:rPr>
          <w:noProof/>
          <w:lang w:eastAsia="en-AU"/>
        </w:rPr>
      </w:pPr>
    </w:p>
    <w:p w14:paraId="6CD25C3D" w14:textId="77777777" w:rsidR="00D34F48" w:rsidRDefault="00D34F48" w:rsidP="00D34F48">
      <w:pPr>
        <w:pStyle w:val="ARHeading3"/>
        <w:rPr>
          <w:b w:val="0"/>
          <w:noProof/>
          <w:sz w:val="24"/>
          <w:szCs w:val="24"/>
          <w:lang w:eastAsia="en-AU"/>
        </w:rPr>
      </w:pPr>
      <w:r w:rsidRPr="00D34F48">
        <w:rPr>
          <w:noProof/>
          <w:sz w:val="24"/>
          <w:szCs w:val="24"/>
          <w:lang w:eastAsia="en-AU"/>
        </w:rPr>
        <w:t xml:space="preserve">Comment: </w:t>
      </w:r>
      <w:r w:rsidRPr="00D34F48">
        <w:rPr>
          <w:b w:val="0"/>
          <w:noProof/>
          <w:sz w:val="24"/>
          <w:szCs w:val="24"/>
          <w:lang w:eastAsia="en-AU"/>
        </w:rPr>
        <w:t>The solvency level of 143.1% is in line with the target of 143%. Increasing the PoS of the outstanding claims liabilities to 90% would reduce the likelihood of not having a sufficient outstanding claims provision from one in four years to one in 10 years and is therefore a higher confidence measure of the solvency position of the Insurance Commission. At a 90% PoS, the TPIF solvency level would reduce to 137%.</w:t>
      </w:r>
    </w:p>
    <w:p w14:paraId="1CA5A7C7" w14:textId="77777777" w:rsidR="00D34F48" w:rsidRDefault="00D34F48" w:rsidP="00D34F48">
      <w:pPr>
        <w:pStyle w:val="ARHeading3"/>
        <w:rPr>
          <w:b w:val="0"/>
          <w:noProof/>
          <w:sz w:val="24"/>
          <w:szCs w:val="24"/>
          <w:lang w:eastAsia="en-AU"/>
        </w:rPr>
      </w:pPr>
    </w:p>
    <w:p w14:paraId="40FCCA90" w14:textId="77777777" w:rsidR="00D34F48" w:rsidRDefault="00D34F48" w:rsidP="00D34F48">
      <w:pPr>
        <w:pStyle w:val="ARHeading3"/>
        <w:rPr>
          <w:b w:val="0"/>
          <w:noProof/>
          <w:sz w:val="24"/>
          <w:szCs w:val="24"/>
          <w:lang w:eastAsia="en-AU"/>
        </w:rPr>
      </w:pPr>
    </w:p>
    <w:p w14:paraId="3CF3D9AB" w14:textId="77777777" w:rsidR="00D34F48" w:rsidRDefault="00D34F48" w:rsidP="00D34F48">
      <w:pPr>
        <w:pStyle w:val="ARHeading3"/>
        <w:rPr>
          <w:b w:val="0"/>
          <w:noProof/>
          <w:sz w:val="24"/>
          <w:szCs w:val="24"/>
          <w:lang w:eastAsia="en-AU"/>
        </w:rPr>
      </w:pPr>
    </w:p>
    <w:p w14:paraId="71F2496A" w14:textId="77777777" w:rsidR="00D34F48" w:rsidRDefault="00D34F48" w:rsidP="00D34F48">
      <w:pPr>
        <w:pStyle w:val="ARHeading3"/>
        <w:rPr>
          <w:b w:val="0"/>
          <w:noProof/>
          <w:sz w:val="24"/>
          <w:szCs w:val="24"/>
          <w:lang w:eastAsia="en-AU"/>
        </w:rPr>
      </w:pPr>
    </w:p>
    <w:p w14:paraId="76F74E9B" w14:textId="77777777" w:rsidR="00D34F48" w:rsidRDefault="00D34F48" w:rsidP="00D34F48">
      <w:pPr>
        <w:pStyle w:val="ARHeading3"/>
        <w:rPr>
          <w:b w:val="0"/>
          <w:noProof/>
          <w:sz w:val="24"/>
          <w:szCs w:val="24"/>
          <w:lang w:eastAsia="en-AU"/>
        </w:rPr>
      </w:pPr>
    </w:p>
    <w:p w14:paraId="1A224993" w14:textId="77777777" w:rsidR="00D34F48" w:rsidRDefault="00D34F48" w:rsidP="00D34F48">
      <w:pPr>
        <w:pStyle w:val="ARHeading3"/>
        <w:rPr>
          <w:noProof/>
          <w:sz w:val="24"/>
          <w:szCs w:val="24"/>
          <w:lang w:eastAsia="en-AU"/>
        </w:rPr>
      </w:pPr>
      <w:r>
        <w:rPr>
          <w:noProof/>
          <w:sz w:val="24"/>
          <w:szCs w:val="24"/>
          <w:lang w:eastAsia="en-AU"/>
        </w:rPr>
        <w:t>Efficiency Performance Indicators</w:t>
      </w:r>
    </w:p>
    <w:p w14:paraId="69B4325B" w14:textId="77777777" w:rsidR="00D34F48" w:rsidRDefault="00D34F48" w:rsidP="00D34F48">
      <w:pPr>
        <w:pStyle w:val="ARHeading3"/>
        <w:rPr>
          <w:noProof/>
          <w:sz w:val="24"/>
          <w:szCs w:val="24"/>
          <w:lang w:eastAsia="en-AU"/>
        </w:rPr>
      </w:pPr>
    </w:p>
    <w:p w14:paraId="088F8E1E" w14:textId="051FD302" w:rsidR="00D34F48" w:rsidRDefault="00D34F48" w:rsidP="00D34F48">
      <w:pPr>
        <w:pStyle w:val="ARHeading3"/>
        <w:rPr>
          <w:noProof/>
          <w:sz w:val="24"/>
          <w:szCs w:val="24"/>
          <w:lang w:eastAsia="en-AU"/>
        </w:rPr>
      </w:pPr>
      <w:r>
        <w:rPr>
          <w:noProof/>
          <w:sz w:val="24"/>
          <w:szCs w:val="24"/>
          <w:lang w:eastAsia="en-AU"/>
        </w:rPr>
        <w:t>Net Loss Ratio (%) – TPIF</w:t>
      </w:r>
    </w:p>
    <w:p w14:paraId="06237912" w14:textId="65F05C1E" w:rsidR="00D34F48" w:rsidRPr="00D34F48" w:rsidRDefault="00D34F48" w:rsidP="00D34F48">
      <w:pPr>
        <w:pStyle w:val="ARHeading3"/>
        <w:rPr>
          <w:b w:val="0"/>
          <w:noProof/>
          <w:sz w:val="24"/>
          <w:szCs w:val="24"/>
          <w:lang w:eastAsia="en-AU"/>
        </w:rPr>
      </w:pPr>
      <w:r>
        <w:rPr>
          <w:noProof/>
          <w:lang w:eastAsia="en-AU"/>
        </w:rPr>
        <mc:AlternateContent>
          <mc:Choice Requires="wps">
            <w:drawing>
              <wp:anchor distT="0" distB="0" distL="114300" distR="114300" simplePos="0" relativeHeight="251669504" behindDoc="0" locked="0" layoutInCell="1" allowOverlap="1" wp14:anchorId="6D86516E" wp14:editId="520AB78E">
                <wp:simplePos x="0" y="0"/>
                <wp:positionH relativeFrom="column">
                  <wp:posOffset>995423</wp:posOffset>
                </wp:positionH>
                <wp:positionV relativeFrom="paragraph">
                  <wp:posOffset>2038471</wp:posOffset>
                </wp:positionV>
                <wp:extent cx="4595149" cy="0"/>
                <wp:effectExtent l="0" t="0" r="34290" b="19050"/>
                <wp:wrapNone/>
                <wp:docPr id="34" name="Straight Connector 26"/>
                <wp:cNvGraphicFramePr/>
                <a:graphic xmlns:a="http://schemas.openxmlformats.org/drawingml/2006/main">
                  <a:graphicData uri="http://schemas.microsoft.com/office/word/2010/wordprocessingShape">
                    <wps:wsp>
                      <wps:cNvCnPr/>
                      <wps:spPr bwMode="auto">
                        <a:xfrm flipV="1">
                          <a:off x="0" y="0"/>
                          <a:ext cx="4595149"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5783784D" id="Straight Connector 26" o:spid="_x0000_s1026" style="position:absolute;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4pt,160.5pt" to="440.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" filled="t" fillcolor="#ff9" strokecolor="#c59f15" strokeweight="2pt"/>
            </w:pict>
          </mc:Fallback>
        </mc:AlternateContent>
      </w:r>
      <w:r w:rsidRPr="00D34F48">
        <w:rPr>
          <w:b w:val="0"/>
          <w:noProof/>
          <w:sz w:val="24"/>
          <w:szCs w:val="24"/>
          <w:lang w:eastAsia="en-AU"/>
        </w:rPr>
        <w:t>This KPI calculates net claims incurred (claims payments and movements in outstanding claims provision) as a percentage of net premium revenue. This KPI measures the sufficiency of premium revenue compared to the cost of claims incurred.  A ratio below 100% indicates the TPIF received sufficient net premium revenue to meet the net cost of claims incurred. A ratio greater than 100% indicates net premium revenue was insufficient to meet the</w:t>
      </w:r>
      <w:r>
        <w:rPr>
          <w:b w:val="0"/>
          <w:noProof/>
          <w:sz w:val="24"/>
          <w:szCs w:val="24"/>
          <w:lang w:eastAsia="en-AU"/>
        </w:rPr>
        <w:t xml:space="preserve"> net cost of claims incurred. </w:t>
      </w:r>
      <w:r>
        <w:rPr>
          <w:noProof/>
          <w:lang w:eastAsia="en-AU"/>
        </w:rPr>
        <w:drawing>
          <wp:inline distT="0" distB="0" distL="0" distR="0" wp14:anchorId="73A9EB3D" wp14:editId="05EC533F">
            <wp:extent cx="5731510" cy="31623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p>
    <w:p w14:paraId="356657E0" w14:textId="77777777" w:rsidR="00D34F48" w:rsidRDefault="00D34F48" w:rsidP="00D34F48">
      <w:pPr>
        <w:pStyle w:val="ARHeading3"/>
        <w:rPr>
          <w:noProof/>
          <w:sz w:val="24"/>
          <w:szCs w:val="24"/>
          <w:lang w:eastAsia="en-AU"/>
        </w:rPr>
      </w:pPr>
      <w:r w:rsidRPr="00D34F48">
        <w:rPr>
          <w:noProof/>
          <w:sz w:val="24"/>
          <w:szCs w:val="24"/>
          <w:lang w:eastAsia="en-AU"/>
        </w:rPr>
        <w:t>Comment:</w:t>
      </w:r>
      <w:r>
        <w:rPr>
          <w:b w:val="0"/>
          <w:noProof/>
          <w:sz w:val="24"/>
          <w:szCs w:val="24"/>
          <w:lang w:eastAsia="en-AU"/>
        </w:rPr>
        <w:t xml:space="preserve"> </w:t>
      </w:r>
      <w:r w:rsidRPr="00D34F48">
        <w:rPr>
          <w:b w:val="0"/>
          <w:noProof/>
          <w:sz w:val="24"/>
          <w:szCs w:val="24"/>
          <w:lang w:eastAsia="en-AU"/>
        </w:rPr>
        <w:t>The 2018 net loss ratio is marginally better than target. This is primarily driven by the lower than forecast claims expense (2%) resulting from lower than budget claims payments of $60 million, offset by a higher than expected movement in outstanding claims provisions of $49.8 million. Lower than forecast claims payments resulted from fewer new claims received in 2018 than expected and fewer claims settlements. Lower than expected claims settlements increases outstanding claims provisions.</w:t>
      </w:r>
      <w:r w:rsidRPr="00D34F48">
        <w:rPr>
          <w:noProof/>
          <w:sz w:val="24"/>
          <w:szCs w:val="24"/>
          <w:lang w:eastAsia="en-AU"/>
        </w:rPr>
        <w:t xml:space="preserve">  </w:t>
      </w:r>
      <w:r w:rsidRPr="00D34F48">
        <w:rPr>
          <w:noProof/>
          <w:sz w:val="24"/>
          <w:szCs w:val="24"/>
          <w:lang w:eastAsia="en-AU"/>
        </w:rPr>
        <w:tab/>
      </w:r>
    </w:p>
    <w:p w14:paraId="44A28F8E" w14:textId="77777777" w:rsidR="00D34F48" w:rsidRDefault="00D34F48" w:rsidP="00D34F48">
      <w:pPr>
        <w:pStyle w:val="ARHeading3"/>
        <w:rPr>
          <w:noProof/>
          <w:sz w:val="24"/>
          <w:szCs w:val="24"/>
          <w:lang w:eastAsia="en-AU"/>
        </w:rPr>
      </w:pPr>
    </w:p>
    <w:p w14:paraId="2B6A1F24" w14:textId="58AC96B9" w:rsidR="00D34F48" w:rsidRDefault="00D34F48" w:rsidP="00D34F48">
      <w:pPr>
        <w:pStyle w:val="ARHeading3"/>
        <w:rPr>
          <w:noProof/>
          <w:sz w:val="24"/>
          <w:szCs w:val="24"/>
          <w:lang w:eastAsia="en-AU"/>
        </w:rPr>
      </w:pPr>
      <w:r>
        <w:rPr>
          <w:noProof/>
          <w:sz w:val="24"/>
          <w:szCs w:val="24"/>
          <w:lang w:eastAsia="en-AU"/>
        </w:rPr>
        <w:t>Net Expense Ratio (%) – TPIF</w:t>
      </w:r>
    </w:p>
    <w:p w14:paraId="32638A1A" w14:textId="77777777" w:rsidR="00D34F48" w:rsidRDefault="00D34F48" w:rsidP="00D34F48">
      <w:pPr>
        <w:pStyle w:val="ARHeading3"/>
        <w:rPr>
          <w:b w:val="0"/>
          <w:noProof/>
          <w:sz w:val="24"/>
          <w:szCs w:val="24"/>
          <w:lang w:eastAsia="en-AU"/>
        </w:rPr>
      </w:pPr>
      <w:r w:rsidRPr="00D34F48">
        <w:rPr>
          <w:b w:val="0"/>
          <w:noProof/>
          <w:sz w:val="24"/>
          <w:szCs w:val="24"/>
          <w:lang w:eastAsia="en-AU"/>
        </w:rPr>
        <w:t>This KPI calculates underwriting and administration expenses as a percentage of net premium revenue. This KPI is a measure of operational efficiency. A lower expense ratio would contribute to higher profits or lower losses being generated.</w:t>
      </w:r>
    </w:p>
    <w:p w14:paraId="08BA1345" w14:textId="77777777" w:rsidR="00D34F48" w:rsidRDefault="00D34F48" w:rsidP="00D34F48">
      <w:pPr>
        <w:pStyle w:val="ARHeading3"/>
        <w:rPr>
          <w:b w:val="0"/>
          <w:noProof/>
          <w:sz w:val="24"/>
          <w:szCs w:val="24"/>
          <w:lang w:eastAsia="en-AU"/>
        </w:rPr>
      </w:pPr>
      <w:r>
        <w:rPr>
          <w:noProof/>
          <w:lang w:eastAsia="en-AU"/>
        </w:rPr>
        <w:lastRenderedPageBreak/>
        <w:drawing>
          <wp:inline distT="0" distB="0" distL="0" distR="0" wp14:anchorId="6D5840EF" wp14:editId="309A49D4">
            <wp:extent cx="5731510" cy="312801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B76A4A" w14:textId="77777777" w:rsidR="00D34F48" w:rsidRDefault="00D34F48" w:rsidP="00D34F48">
      <w:pPr>
        <w:pStyle w:val="ARHeading3"/>
        <w:rPr>
          <w:b w:val="0"/>
          <w:noProof/>
          <w:sz w:val="24"/>
          <w:szCs w:val="24"/>
          <w:lang w:eastAsia="en-AU"/>
        </w:rPr>
      </w:pPr>
    </w:p>
    <w:p w14:paraId="3ED3F19A" w14:textId="77777777" w:rsidR="00D34F48" w:rsidRDefault="00D34F48" w:rsidP="00D34F48">
      <w:pPr>
        <w:pStyle w:val="ARHeading3"/>
        <w:rPr>
          <w:b w:val="0"/>
          <w:noProof/>
          <w:sz w:val="24"/>
          <w:szCs w:val="24"/>
          <w:lang w:eastAsia="en-AU"/>
        </w:rPr>
      </w:pPr>
      <w:r w:rsidRPr="00D34F48">
        <w:rPr>
          <w:noProof/>
          <w:sz w:val="24"/>
          <w:szCs w:val="24"/>
          <w:lang w:eastAsia="en-AU"/>
        </w:rPr>
        <w:t>Comment:</w:t>
      </w:r>
      <w:r>
        <w:rPr>
          <w:b w:val="0"/>
          <w:noProof/>
          <w:sz w:val="24"/>
          <w:szCs w:val="24"/>
          <w:lang w:eastAsia="en-AU"/>
        </w:rPr>
        <w:t xml:space="preserve"> </w:t>
      </w:r>
      <w:r w:rsidRPr="00D34F48">
        <w:rPr>
          <w:b w:val="0"/>
          <w:noProof/>
          <w:sz w:val="24"/>
          <w:szCs w:val="24"/>
          <w:lang w:eastAsia="en-AU"/>
        </w:rPr>
        <w:t>The net expense ratio is better than target, driven by lower than budget underwriting and administration expenses (8.6%) offset by slightly lower than forecast net premium revenue (1.6%).</w:t>
      </w:r>
    </w:p>
    <w:p w14:paraId="6936DD21" w14:textId="77777777" w:rsidR="00D34F48" w:rsidRDefault="00D34F48" w:rsidP="00D34F48">
      <w:pPr>
        <w:pStyle w:val="ARHeading3"/>
        <w:rPr>
          <w:b w:val="0"/>
          <w:noProof/>
          <w:sz w:val="24"/>
          <w:szCs w:val="24"/>
          <w:lang w:eastAsia="en-AU"/>
        </w:rPr>
      </w:pPr>
    </w:p>
    <w:p w14:paraId="78CE22FC" w14:textId="3C8F59EF" w:rsidR="00D34F48" w:rsidRDefault="00D34F48" w:rsidP="00D34F48">
      <w:pPr>
        <w:pStyle w:val="ARHeading3"/>
        <w:rPr>
          <w:noProof/>
          <w:sz w:val="24"/>
          <w:szCs w:val="24"/>
          <w:lang w:eastAsia="en-AU"/>
        </w:rPr>
      </w:pPr>
      <w:r>
        <w:rPr>
          <w:noProof/>
          <w:sz w:val="24"/>
          <w:szCs w:val="24"/>
          <w:lang w:eastAsia="en-AU"/>
        </w:rPr>
        <w:t>Net Combined Ratio (%) – TPIF</w:t>
      </w:r>
    </w:p>
    <w:p w14:paraId="64590167" w14:textId="77777777" w:rsidR="00D34F48" w:rsidRDefault="00D34F48" w:rsidP="00D34F48">
      <w:pPr>
        <w:pStyle w:val="ARHeading3"/>
        <w:rPr>
          <w:b w:val="0"/>
          <w:noProof/>
          <w:sz w:val="24"/>
          <w:szCs w:val="24"/>
          <w:lang w:eastAsia="en-AU"/>
        </w:rPr>
      </w:pPr>
      <w:r w:rsidRPr="00D34F48">
        <w:rPr>
          <w:b w:val="0"/>
          <w:noProof/>
          <w:sz w:val="24"/>
          <w:szCs w:val="24"/>
          <w:lang w:eastAsia="en-AU"/>
        </w:rPr>
        <w:t>This KPI calculates underwriting and administration expenses and net claims incurred as a percentage of net premium revenue. This KPI is a measure of underwriting profitability used to indicate how well the TPIF is performing. It is the combined result of the Net Loss Ratio and the Net Expense Ratio. A ratio below 100% indicates that an underwriting profit has been made, whereas a ratio above 100% indicates an underwriting loss.</w:t>
      </w:r>
    </w:p>
    <w:p w14:paraId="15D82124" w14:textId="52D8D78D" w:rsidR="00D34F48" w:rsidRPr="00D34F48" w:rsidRDefault="00D34F48" w:rsidP="00D34F48">
      <w:pPr>
        <w:pStyle w:val="ARHeading3"/>
        <w:rPr>
          <w:b w:val="0"/>
          <w:noProof/>
          <w:sz w:val="24"/>
          <w:szCs w:val="24"/>
          <w:lang w:eastAsia="en-AU"/>
        </w:rPr>
      </w:pPr>
      <w:r>
        <w:rPr>
          <w:noProof/>
          <w:lang w:eastAsia="en-AU"/>
        </w:rPr>
        <mc:AlternateContent>
          <mc:Choice Requires="wps">
            <w:drawing>
              <wp:anchor distT="0" distB="0" distL="114300" distR="114300" simplePos="0" relativeHeight="251671552" behindDoc="0" locked="0" layoutInCell="1" allowOverlap="1" wp14:anchorId="17D3AB07" wp14:editId="499315FE">
                <wp:simplePos x="0" y="0"/>
                <wp:positionH relativeFrom="column">
                  <wp:posOffset>960699</wp:posOffset>
                </wp:positionH>
                <wp:positionV relativeFrom="paragraph">
                  <wp:posOffset>1003935</wp:posOffset>
                </wp:positionV>
                <wp:extent cx="4618298" cy="10160"/>
                <wp:effectExtent l="0" t="0" r="30480" b="27940"/>
                <wp:wrapNone/>
                <wp:docPr id="32" name="Straight Connector 31"/>
                <wp:cNvGraphicFramePr/>
                <a:graphic xmlns:a="http://schemas.openxmlformats.org/drawingml/2006/main">
                  <a:graphicData uri="http://schemas.microsoft.com/office/word/2010/wordprocessingShape">
                    <wps:wsp>
                      <wps:cNvCnPr/>
                      <wps:spPr bwMode="auto">
                        <a:xfrm flipV="1">
                          <a:off x="0" y="0"/>
                          <a:ext cx="4618298" cy="1016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377DB4D0" id="Straight Connector 31" o:spid="_x0000_s1026" style="position:absolute;flip: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65pt,79.05pt" to="439.3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" filled="t" fillcolor="#ff9" strokecolor="#c59f15" strokeweight="2pt"/>
            </w:pict>
          </mc:Fallback>
        </mc:AlternateContent>
      </w:r>
      <w:r>
        <w:rPr>
          <w:noProof/>
          <w:lang w:eastAsia="en-AU"/>
        </w:rPr>
        <w:drawing>
          <wp:inline distT="0" distB="0" distL="0" distR="0" wp14:anchorId="0F518443" wp14:editId="689F9250">
            <wp:extent cx="5731510" cy="312039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34F48">
        <w:rPr>
          <w:noProof/>
          <w:lang w:eastAsia="en-AU"/>
        </w:rPr>
        <w:t xml:space="preserve"> </w:t>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p>
    <w:p w14:paraId="474936E1" w14:textId="77777777" w:rsidR="00D34F48" w:rsidRDefault="00D34F48" w:rsidP="00D34F48">
      <w:pPr>
        <w:pStyle w:val="ARHeading3"/>
        <w:rPr>
          <w:b w:val="0"/>
          <w:noProof/>
          <w:sz w:val="24"/>
          <w:szCs w:val="24"/>
          <w:lang w:eastAsia="en-AU"/>
        </w:rPr>
      </w:pPr>
      <w:r w:rsidRPr="00D34F48">
        <w:rPr>
          <w:noProof/>
          <w:sz w:val="24"/>
          <w:szCs w:val="24"/>
          <w:lang w:eastAsia="en-AU"/>
        </w:rPr>
        <w:lastRenderedPageBreak/>
        <w:t>Comment:</w:t>
      </w:r>
      <w:r>
        <w:rPr>
          <w:b w:val="0"/>
          <w:noProof/>
          <w:sz w:val="24"/>
          <w:szCs w:val="24"/>
          <w:lang w:eastAsia="en-AU"/>
        </w:rPr>
        <w:t xml:space="preserve"> </w:t>
      </w:r>
      <w:r w:rsidRPr="00D34F48">
        <w:rPr>
          <w:b w:val="0"/>
          <w:noProof/>
          <w:sz w:val="24"/>
          <w:szCs w:val="24"/>
          <w:lang w:eastAsia="en-AU"/>
        </w:rPr>
        <w:t>The result is better than target, reflecting the Fund's underwriting profit of $26 million compared to the forecast profit of $17.6 million for the financial year. The Fund's underwriting profit is equivalent to 4.4% of its premium revenue or 1.1% of its outstanding claims liabilities.</w:t>
      </w:r>
    </w:p>
    <w:p w14:paraId="334C19AE" w14:textId="77777777" w:rsidR="00D34F48" w:rsidRDefault="00D34F48" w:rsidP="00D34F48">
      <w:pPr>
        <w:pStyle w:val="ARHeading3"/>
        <w:rPr>
          <w:b w:val="0"/>
          <w:noProof/>
          <w:sz w:val="24"/>
          <w:szCs w:val="24"/>
          <w:lang w:eastAsia="en-AU"/>
        </w:rPr>
      </w:pPr>
    </w:p>
    <w:p w14:paraId="09820234" w14:textId="77777777" w:rsidR="00D34F48" w:rsidRDefault="00D34F48" w:rsidP="00D34F48">
      <w:pPr>
        <w:pStyle w:val="ARHeading3"/>
        <w:rPr>
          <w:noProof/>
          <w:sz w:val="24"/>
          <w:szCs w:val="24"/>
          <w:lang w:eastAsia="en-AU"/>
        </w:rPr>
      </w:pPr>
      <w:r>
        <w:rPr>
          <w:noProof/>
          <w:sz w:val="24"/>
          <w:szCs w:val="24"/>
          <w:lang w:eastAsia="en-AU"/>
        </w:rPr>
        <w:t>Effectiveness Performance Indicator</w:t>
      </w:r>
    </w:p>
    <w:p w14:paraId="6DAB95DC" w14:textId="77777777" w:rsidR="00D34F48" w:rsidRDefault="00D34F48" w:rsidP="00D34F48">
      <w:pPr>
        <w:pStyle w:val="ARHeading3"/>
        <w:rPr>
          <w:b w:val="0"/>
          <w:noProof/>
          <w:sz w:val="24"/>
          <w:szCs w:val="24"/>
          <w:lang w:eastAsia="en-AU"/>
        </w:rPr>
      </w:pPr>
    </w:p>
    <w:p w14:paraId="6AA10E42" w14:textId="7AA71F9A" w:rsidR="00D34F48" w:rsidRDefault="00D34F48" w:rsidP="00D34F48">
      <w:pPr>
        <w:pStyle w:val="ARHeading3"/>
        <w:rPr>
          <w:noProof/>
          <w:sz w:val="24"/>
          <w:szCs w:val="24"/>
          <w:lang w:eastAsia="en-AU"/>
        </w:rPr>
      </w:pPr>
      <w:r>
        <w:rPr>
          <w:noProof/>
          <w:sz w:val="24"/>
          <w:szCs w:val="24"/>
          <w:lang w:eastAsia="en-AU"/>
        </w:rPr>
        <w:t>Solvency Level (%) – MVCIF</w:t>
      </w:r>
    </w:p>
    <w:p w14:paraId="74C63C11" w14:textId="77777777" w:rsidR="00D34F48" w:rsidRDefault="00D34F48" w:rsidP="00D34F48">
      <w:pPr>
        <w:pStyle w:val="ARHeading3"/>
        <w:rPr>
          <w:b w:val="0"/>
          <w:noProof/>
          <w:sz w:val="24"/>
          <w:szCs w:val="24"/>
          <w:lang w:eastAsia="en-AU"/>
        </w:rPr>
      </w:pPr>
      <w:r w:rsidRPr="00D34F48">
        <w:rPr>
          <w:b w:val="0"/>
          <w:noProof/>
          <w:sz w:val="24"/>
          <w:szCs w:val="24"/>
          <w:lang w:eastAsia="en-AU"/>
        </w:rPr>
        <w:t xml:space="preserve">This KPI calculates Total Assets as a percentage of Total Liabilities in the Motor Vehicle (Catastrophic Injuries) Fund (MVCIF). This KPI measures the ability of the MVCIF to meet its long-term financial obligations as they fall due. </w:t>
      </w:r>
      <w:r w:rsidRPr="00D34F48">
        <w:rPr>
          <w:b w:val="0"/>
          <w:noProof/>
          <w:sz w:val="24"/>
          <w:szCs w:val="24"/>
          <w:lang w:eastAsia="en-AU"/>
        </w:rPr>
        <w:tab/>
      </w:r>
    </w:p>
    <w:p w14:paraId="0D7187DE" w14:textId="77777777" w:rsidR="00D34F48" w:rsidRDefault="00D34F48" w:rsidP="00D34F48">
      <w:pPr>
        <w:pStyle w:val="ARHeading3"/>
        <w:rPr>
          <w:b w:val="0"/>
          <w:noProof/>
          <w:sz w:val="24"/>
          <w:szCs w:val="24"/>
          <w:lang w:eastAsia="en-AU"/>
        </w:rPr>
      </w:pPr>
    </w:p>
    <w:p w14:paraId="1C016282" w14:textId="77777777" w:rsidR="00D34F48" w:rsidRDefault="00D34F48" w:rsidP="00D34F48">
      <w:pPr>
        <w:pStyle w:val="ARHeading3"/>
        <w:rPr>
          <w:b w:val="0"/>
          <w:noProof/>
          <w:sz w:val="24"/>
          <w:szCs w:val="24"/>
          <w:lang w:eastAsia="en-AU"/>
        </w:rPr>
      </w:pPr>
      <w:r w:rsidRPr="00D34F48">
        <w:rPr>
          <w:b w:val="0"/>
          <w:noProof/>
          <w:sz w:val="24"/>
          <w:szCs w:val="24"/>
          <w:lang w:eastAsia="en-AU"/>
        </w:rPr>
        <w:t xml:space="preserve">MVCIF outstanding claims liabilities are calculated based on a 75% Probability of Sufficiency (PoS). The PoS takes into account potential uncertainties relating to various actuarial assumptions and statistical modelling techniques. </w:t>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Pr>
          <w:noProof/>
          <w:lang w:eastAsia="en-AU"/>
        </w:rPr>
        <w:drawing>
          <wp:inline distT="0" distB="0" distL="0" distR="0" wp14:anchorId="5C186A8C" wp14:editId="02B697BC">
            <wp:extent cx="5731510" cy="3162300"/>
            <wp:effectExtent l="0" t="0" r="254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34F48">
        <w:t xml:space="preserve"> </w:t>
      </w:r>
      <w:r w:rsidRPr="00D34F48">
        <w:rPr>
          <w:noProof/>
          <w:sz w:val="24"/>
          <w:szCs w:val="24"/>
          <w:lang w:eastAsia="en-AU"/>
        </w:rPr>
        <w:t>Comment:</w:t>
      </w:r>
      <w:r>
        <w:rPr>
          <w:b w:val="0"/>
          <w:noProof/>
          <w:sz w:val="24"/>
          <w:szCs w:val="24"/>
          <w:lang w:eastAsia="en-AU"/>
        </w:rPr>
        <w:t xml:space="preserve"> </w:t>
      </w:r>
      <w:r w:rsidRPr="00D34F48">
        <w:rPr>
          <w:b w:val="0"/>
          <w:noProof/>
          <w:sz w:val="24"/>
          <w:szCs w:val="24"/>
          <w:lang w:eastAsia="en-AU"/>
        </w:rPr>
        <w:t>The solvency level of 115.8% for the MVCIF reflects the better than expected performance of the Fund's underwriting result and investment returns for the financial year. The Fund's underwriting profit of $37.6 million in 2018 was a large improvement on the underwriting loss of $98.1 million in 2017. The main reason for the 2017 loss was that premium revenue was not collected from motorists in advance of the CIS scheme start date. The improved underwriting result in 2018 was also due to a lower than expected increase in outstanding claims provisions, arising from the actuarial assessment of improvements in the level of disability in catastrophically injured people. Given the long-tail nature of the liabilities in this Fund, considerable volatility is expected, particularly in the early years.</w:t>
      </w:r>
    </w:p>
    <w:p w14:paraId="6077EC64" w14:textId="77777777" w:rsidR="00D34F48" w:rsidRDefault="00D34F48" w:rsidP="00D34F48">
      <w:pPr>
        <w:pStyle w:val="ARHeading3"/>
        <w:rPr>
          <w:b w:val="0"/>
          <w:noProof/>
          <w:sz w:val="24"/>
          <w:szCs w:val="24"/>
          <w:lang w:eastAsia="en-AU"/>
        </w:rPr>
      </w:pPr>
    </w:p>
    <w:p w14:paraId="4F537441" w14:textId="77777777" w:rsidR="00D34F48" w:rsidRDefault="00D34F48" w:rsidP="00D34F48">
      <w:pPr>
        <w:pStyle w:val="ARHeading3"/>
        <w:rPr>
          <w:b w:val="0"/>
          <w:noProof/>
          <w:sz w:val="24"/>
          <w:szCs w:val="24"/>
          <w:lang w:eastAsia="en-AU"/>
        </w:rPr>
      </w:pPr>
    </w:p>
    <w:p w14:paraId="4F9FB7EE" w14:textId="77777777" w:rsidR="00D34F48" w:rsidRDefault="00D34F48" w:rsidP="00D34F48">
      <w:pPr>
        <w:pStyle w:val="ARHeading3"/>
        <w:rPr>
          <w:b w:val="0"/>
          <w:noProof/>
          <w:sz w:val="24"/>
          <w:szCs w:val="24"/>
          <w:lang w:eastAsia="en-AU"/>
        </w:rPr>
      </w:pPr>
    </w:p>
    <w:p w14:paraId="3D6008E4" w14:textId="77777777" w:rsidR="00D34F48" w:rsidRDefault="00D34F48" w:rsidP="00D34F48">
      <w:pPr>
        <w:pStyle w:val="ARHeading3"/>
        <w:rPr>
          <w:b w:val="0"/>
          <w:noProof/>
          <w:sz w:val="24"/>
          <w:szCs w:val="24"/>
          <w:lang w:eastAsia="en-AU"/>
        </w:rPr>
      </w:pPr>
    </w:p>
    <w:p w14:paraId="2841EE18" w14:textId="77777777" w:rsidR="00D34F48" w:rsidRDefault="00D34F48" w:rsidP="00D34F48">
      <w:pPr>
        <w:pStyle w:val="ARHeading3"/>
        <w:rPr>
          <w:b w:val="0"/>
          <w:noProof/>
          <w:sz w:val="24"/>
          <w:szCs w:val="24"/>
          <w:lang w:eastAsia="en-AU"/>
        </w:rPr>
      </w:pPr>
    </w:p>
    <w:p w14:paraId="0457CB57" w14:textId="77777777" w:rsidR="00D34F48" w:rsidRDefault="00D34F48" w:rsidP="00D34F48">
      <w:pPr>
        <w:pStyle w:val="ARHeading3"/>
        <w:rPr>
          <w:b w:val="0"/>
          <w:noProof/>
          <w:sz w:val="24"/>
          <w:szCs w:val="24"/>
          <w:lang w:eastAsia="en-AU"/>
        </w:rPr>
      </w:pPr>
    </w:p>
    <w:p w14:paraId="73B4B395" w14:textId="77777777" w:rsidR="00D34F48" w:rsidRDefault="00D34F48" w:rsidP="00D34F48">
      <w:pPr>
        <w:pStyle w:val="ARHeading3"/>
        <w:rPr>
          <w:noProof/>
          <w:sz w:val="24"/>
          <w:szCs w:val="24"/>
          <w:lang w:eastAsia="en-AU"/>
        </w:rPr>
      </w:pPr>
      <w:r>
        <w:rPr>
          <w:noProof/>
          <w:sz w:val="24"/>
          <w:szCs w:val="24"/>
          <w:lang w:eastAsia="en-AU"/>
        </w:rPr>
        <w:lastRenderedPageBreak/>
        <w:t>Efficiency Performance Indicators</w:t>
      </w:r>
    </w:p>
    <w:p w14:paraId="02468AE0" w14:textId="77777777" w:rsidR="00D34F48" w:rsidRDefault="00D34F48" w:rsidP="00D34F48">
      <w:pPr>
        <w:pStyle w:val="ARHeading3"/>
        <w:rPr>
          <w:noProof/>
          <w:sz w:val="24"/>
          <w:szCs w:val="24"/>
          <w:lang w:eastAsia="en-AU"/>
        </w:rPr>
      </w:pPr>
    </w:p>
    <w:p w14:paraId="5874CBD5" w14:textId="77777777" w:rsidR="00D34F48" w:rsidRDefault="00D34F48" w:rsidP="00D34F48">
      <w:pPr>
        <w:pStyle w:val="ARHeading3"/>
        <w:rPr>
          <w:noProof/>
          <w:sz w:val="24"/>
          <w:szCs w:val="24"/>
          <w:lang w:eastAsia="en-AU"/>
        </w:rPr>
      </w:pPr>
      <w:r>
        <w:rPr>
          <w:noProof/>
          <w:sz w:val="24"/>
          <w:szCs w:val="24"/>
          <w:lang w:eastAsia="en-AU"/>
        </w:rPr>
        <w:t xml:space="preserve">Net Loss Ratio (%) – MVCIF </w:t>
      </w:r>
    </w:p>
    <w:p w14:paraId="2E8B6B81" w14:textId="1E5358E8" w:rsidR="00D34F48" w:rsidRPr="00D34F48" w:rsidRDefault="00D34F48" w:rsidP="00D34F48">
      <w:pPr>
        <w:pStyle w:val="ARHeading3"/>
        <w:rPr>
          <w:b w:val="0"/>
          <w:noProof/>
          <w:sz w:val="24"/>
          <w:szCs w:val="24"/>
          <w:lang w:eastAsia="en-AU"/>
        </w:rPr>
      </w:pPr>
      <w:r>
        <w:rPr>
          <w:noProof/>
          <w:lang w:eastAsia="en-AU"/>
        </w:rPr>
        <mc:AlternateContent>
          <mc:Choice Requires="wps">
            <w:drawing>
              <wp:anchor distT="0" distB="0" distL="114300" distR="114300" simplePos="0" relativeHeight="251673600" behindDoc="0" locked="0" layoutInCell="1" allowOverlap="1" wp14:anchorId="0EB16293" wp14:editId="4E7A393F">
                <wp:simplePos x="0" y="0"/>
                <wp:positionH relativeFrom="column">
                  <wp:posOffset>972273</wp:posOffset>
                </wp:positionH>
                <wp:positionV relativeFrom="paragraph">
                  <wp:posOffset>2699867</wp:posOffset>
                </wp:positionV>
                <wp:extent cx="4606724" cy="0"/>
                <wp:effectExtent l="0" t="0" r="22860" b="19050"/>
                <wp:wrapNone/>
                <wp:docPr id="43" name="Straight Connector 42"/>
                <wp:cNvGraphicFramePr/>
                <a:graphic xmlns:a="http://schemas.openxmlformats.org/drawingml/2006/main">
                  <a:graphicData uri="http://schemas.microsoft.com/office/word/2010/wordprocessingShape">
                    <wps:wsp>
                      <wps:cNvCnPr/>
                      <wps:spPr bwMode="auto">
                        <a:xfrm flipV="1">
                          <a:off x="0" y="0"/>
                          <a:ext cx="4606724"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092D13B0" id="Straight Connector 42" o:spid="_x0000_s1026" style="position:absolute;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5pt,212.6pt" to="439.3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" filled="t" fillcolor="#ff9" strokecolor="#c59f15" strokeweight="2pt"/>
            </w:pict>
          </mc:Fallback>
        </mc:AlternateContent>
      </w:r>
      <w:r w:rsidRPr="00D34F48">
        <w:rPr>
          <w:b w:val="0"/>
          <w:noProof/>
          <w:sz w:val="24"/>
          <w:szCs w:val="24"/>
          <w:lang w:eastAsia="en-AU"/>
        </w:rPr>
        <w:t xml:space="preserve">This KPI calculates net claims incurred (claims payments and movements in outstanding claims provision) as a percentage of net premium revenue. This KPI measures the sufficiency of premium revenue compared to the cost of claims incurred. A ratio below 100% indicates the MVCIF received sufficient net premium revenue to meet the net cost of claims incurred. A ratio greater than 100% indicates net premium revenue was insufficient to meet the net cost of claims incurred.  </w:t>
      </w:r>
      <w:r w:rsidRPr="00D34F48">
        <w:rPr>
          <w:b w:val="0"/>
          <w:noProof/>
          <w:sz w:val="24"/>
          <w:szCs w:val="24"/>
          <w:lang w:eastAsia="en-AU"/>
        </w:rPr>
        <w:tab/>
      </w:r>
      <w:r>
        <w:rPr>
          <w:noProof/>
          <w:lang w:eastAsia="en-AU"/>
        </w:rPr>
        <w:drawing>
          <wp:inline distT="0" distB="0" distL="0" distR="0" wp14:anchorId="6AAF9562" wp14:editId="72D3A39B">
            <wp:extent cx="5731510" cy="31623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34F48">
        <w:rPr>
          <w:noProof/>
          <w:lang w:eastAsia="en-AU"/>
        </w:rPr>
        <w:t xml:space="preserve"> </w:t>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r w:rsidRPr="00D34F48">
        <w:rPr>
          <w:b w:val="0"/>
          <w:noProof/>
          <w:sz w:val="24"/>
          <w:szCs w:val="24"/>
          <w:lang w:eastAsia="en-AU"/>
        </w:rPr>
        <w:tab/>
      </w:r>
    </w:p>
    <w:p w14:paraId="1171D259" w14:textId="77777777" w:rsidR="00477061" w:rsidRDefault="00D34F48" w:rsidP="00D34F48">
      <w:pPr>
        <w:pStyle w:val="ARHeading3"/>
        <w:rPr>
          <w:b w:val="0"/>
          <w:noProof/>
          <w:sz w:val="24"/>
          <w:szCs w:val="24"/>
          <w:lang w:eastAsia="en-AU"/>
        </w:rPr>
      </w:pPr>
      <w:r w:rsidRPr="00D34F48">
        <w:rPr>
          <w:noProof/>
          <w:sz w:val="24"/>
          <w:szCs w:val="24"/>
          <w:lang w:eastAsia="en-AU"/>
        </w:rPr>
        <w:t>Comment:</w:t>
      </w:r>
      <w:r>
        <w:rPr>
          <w:b w:val="0"/>
          <w:noProof/>
          <w:sz w:val="24"/>
          <w:szCs w:val="24"/>
          <w:lang w:eastAsia="en-AU"/>
        </w:rPr>
        <w:t xml:space="preserve"> </w:t>
      </w:r>
      <w:r w:rsidRPr="00D34F48">
        <w:rPr>
          <w:b w:val="0"/>
          <w:noProof/>
          <w:sz w:val="24"/>
          <w:szCs w:val="24"/>
          <w:lang w:eastAsia="en-AU"/>
        </w:rPr>
        <w:t>The net loss ratio is better than target. This result is driven by a lower than expected increase in outstanding claims provisions (34.7%). This is largely due to a reduction in the actuarial assessment of future costs estimates for a number of scheme participants, resulting from improvements in the level of injury (in some cases substantial) during the past twelve months.</w:t>
      </w:r>
    </w:p>
    <w:p w14:paraId="3AC36DD6" w14:textId="77777777" w:rsidR="00477061" w:rsidRDefault="00477061" w:rsidP="00D34F48">
      <w:pPr>
        <w:pStyle w:val="ARHeading3"/>
        <w:rPr>
          <w:b w:val="0"/>
          <w:noProof/>
          <w:sz w:val="24"/>
          <w:szCs w:val="24"/>
          <w:lang w:eastAsia="en-AU"/>
        </w:rPr>
      </w:pPr>
    </w:p>
    <w:p w14:paraId="765977D7" w14:textId="27A2F80B" w:rsidR="00477061" w:rsidRDefault="00477061" w:rsidP="00D34F48">
      <w:pPr>
        <w:pStyle w:val="ARHeading3"/>
        <w:rPr>
          <w:noProof/>
          <w:sz w:val="24"/>
          <w:szCs w:val="24"/>
          <w:lang w:eastAsia="en-AU"/>
        </w:rPr>
      </w:pPr>
      <w:r>
        <w:rPr>
          <w:noProof/>
          <w:sz w:val="24"/>
          <w:szCs w:val="24"/>
          <w:lang w:eastAsia="en-AU"/>
        </w:rPr>
        <w:t>Net Expense Ratio (%) – MVCIF</w:t>
      </w:r>
    </w:p>
    <w:p w14:paraId="6B92D643" w14:textId="77777777" w:rsidR="00477061" w:rsidRDefault="00477061" w:rsidP="00477061">
      <w:pPr>
        <w:pStyle w:val="ARHeading3"/>
        <w:rPr>
          <w:b w:val="0"/>
          <w:noProof/>
          <w:sz w:val="24"/>
          <w:szCs w:val="24"/>
          <w:lang w:eastAsia="en-AU"/>
        </w:rPr>
      </w:pPr>
      <w:r w:rsidRPr="00477061">
        <w:rPr>
          <w:b w:val="0"/>
          <w:noProof/>
          <w:sz w:val="24"/>
          <w:szCs w:val="24"/>
          <w:lang w:eastAsia="en-AU"/>
        </w:rPr>
        <w:t>This KPI calculates underwriting and administration expenses as a percentage of net premium revenue. This KPI is a measure of operational efficiency. A lower expense ratio would contribute to higher profits or lower losses being generated.</w:t>
      </w:r>
      <w:r w:rsidRPr="00477061">
        <w:rPr>
          <w:b w:val="0"/>
          <w:noProof/>
          <w:sz w:val="24"/>
          <w:szCs w:val="24"/>
          <w:lang w:eastAsia="en-AU"/>
        </w:rPr>
        <w:tab/>
      </w:r>
      <w:r w:rsidRPr="00477061">
        <w:rPr>
          <w:b w:val="0"/>
          <w:noProof/>
          <w:sz w:val="24"/>
          <w:szCs w:val="24"/>
          <w:lang w:eastAsia="en-AU"/>
        </w:rPr>
        <w:tab/>
      </w:r>
      <w:r>
        <w:rPr>
          <w:noProof/>
          <w:lang w:eastAsia="en-AU"/>
        </w:rPr>
        <w:lastRenderedPageBreak/>
        <w:drawing>
          <wp:inline distT="0" distB="0" distL="0" distR="0" wp14:anchorId="7567173A" wp14:editId="5A0E9179">
            <wp:extent cx="5731510" cy="3162300"/>
            <wp:effectExtent l="0" t="0" r="254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77061">
        <w:t xml:space="preserve"> </w:t>
      </w:r>
      <w:r w:rsidRPr="00477061">
        <w:rPr>
          <w:noProof/>
          <w:sz w:val="24"/>
          <w:szCs w:val="24"/>
          <w:lang w:eastAsia="en-AU"/>
        </w:rPr>
        <w:t>Comment:</w:t>
      </w:r>
      <w:r>
        <w:rPr>
          <w:b w:val="0"/>
          <w:noProof/>
          <w:sz w:val="24"/>
          <w:szCs w:val="24"/>
          <w:lang w:eastAsia="en-AU"/>
        </w:rPr>
        <w:t xml:space="preserve"> </w:t>
      </w:r>
      <w:r w:rsidRPr="00477061">
        <w:rPr>
          <w:b w:val="0"/>
          <w:noProof/>
          <w:sz w:val="24"/>
          <w:szCs w:val="24"/>
          <w:lang w:eastAsia="en-AU"/>
        </w:rPr>
        <w:t>The net expense ratio of 8.7% is above the target of 5.4%. This is due to the unearned premium of the MVCIF being insufficient to meet related future claims, despite other underwriting and administration expenses being 6.9% below target.</w:t>
      </w:r>
      <w:r w:rsidRPr="00477061">
        <w:rPr>
          <w:b w:val="0"/>
          <w:noProof/>
          <w:sz w:val="24"/>
          <w:szCs w:val="24"/>
          <w:lang w:eastAsia="en-AU"/>
        </w:rPr>
        <w:tab/>
      </w:r>
    </w:p>
    <w:p w14:paraId="64F6DD3E" w14:textId="77777777" w:rsidR="00477061" w:rsidRDefault="00477061" w:rsidP="00477061">
      <w:pPr>
        <w:pStyle w:val="ARHeading3"/>
        <w:rPr>
          <w:b w:val="0"/>
          <w:noProof/>
          <w:sz w:val="24"/>
          <w:szCs w:val="24"/>
          <w:lang w:eastAsia="en-AU"/>
        </w:rPr>
      </w:pPr>
    </w:p>
    <w:p w14:paraId="6D9285A3" w14:textId="0BBC47DC" w:rsidR="00477061" w:rsidRDefault="00477061" w:rsidP="00477061">
      <w:pPr>
        <w:pStyle w:val="ARHeading3"/>
        <w:rPr>
          <w:noProof/>
          <w:sz w:val="24"/>
          <w:szCs w:val="24"/>
          <w:lang w:eastAsia="en-AU"/>
        </w:rPr>
      </w:pPr>
      <w:r>
        <w:rPr>
          <w:noProof/>
          <w:sz w:val="24"/>
          <w:szCs w:val="24"/>
          <w:lang w:eastAsia="en-AU"/>
        </w:rPr>
        <w:t>Net Combined Ratio (%) – MVCIF</w:t>
      </w:r>
    </w:p>
    <w:p w14:paraId="38CA7CAE" w14:textId="153945BA" w:rsidR="00477061" w:rsidRPr="00477061" w:rsidRDefault="00477061" w:rsidP="00477061">
      <w:pPr>
        <w:pStyle w:val="ARHeading3"/>
        <w:rPr>
          <w:b w:val="0"/>
          <w:noProof/>
          <w:sz w:val="24"/>
          <w:szCs w:val="24"/>
          <w:lang w:eastAsia="en-AU"/>
        </w:rPr>
      </w:pPr>
      <w:r>
        <w:rPr>
          <w:noProof/>
          <w:lang w:eastAsia="en-AU"/>
        </w:rPr>
        <mc:AlternateContent>
          <mc:Choice Requires="wps">
            <w:drawing>
              <wp:anchor distT="0" distB="0" distL="114300" distR="114300" simplePos="0" relativeHeight="251675648" behindDoc="0" locked="0" layoutInCell="1" allowOverlap="1" wp14:anchorId="0B5107C8" wp14:editId="1B5C1572">
                <wp:simplePos x="0" y="0"/>
                <wp:positionH relativeFrom="column">
                  <wp:posOffset>868102</wp:posOffset>
                </wp:positionH>
                <wp:positionV relativeFrom="paragraph">
                  <wp:posOffset>2879371</wp:posOffset>
                </wp:positionV>
                <wp:extent cx="4664598" cy="0"/>
                <wp:effectExtent l="0" t="0" r="22225" b="19050"/>
                <wp:wrapNone/>
                <wp:docPr id="42" name="Straight Connector 41"/>
                <wp:cNvGraphicFramePr/>
                <a:graphic xmlns:a="http://schemas.openxmlformats.org/drawingml/2006/main">
                  <a:graphicData uri="http://schemas.microsoft.com/office/word/2010/wordprocessingShape">
                    <wps:wsp>
                      <wps:cNvCnPr/>
                      <wps:spPr bwMode="auto">
                        <a:xfrm flipV="1">
                          <a:off x="0" y="0"/>
                          <a:ext cx="4664598"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5F6776CC" id="Straight Connector 41"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35pt,226.7pt" to="435.65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" filled="t" fillcolor="#ff9" strokecolor="#c59f15" strokeweight="2pt"/>
            </w:pict>
          </mc:Fallback>
        </mc:AlternateContent>
      </w:r>
      <w:r w:rsidRPr="00477061">
        <w:rPr>
          <w:b w:val="0"/>
          <w:noProof/>
          <w:sz w:val="24"/>
          <w:szCs w:val="24"/>
          <w:lang w:eastAsia="en-AU"/>
        </w:rPr>
        <w:t>This KPI calculates underwriting and administration expenses and net claims incurred as a percentage of net premium revenue. This KPI is a measure of underwriting profitability used to indicate how well the MVCIF is performing. It is the combined result of the Net Loss Ratio and the Net Expense Ratio. A ratio below 100% indicates that an underwriting profit has been made, whereas a ratio above 100% indicates an underwriting loss.</w:t>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Pr>
          <w:noProof/>
          <w:lang w:eastAsia="en-AU"/>
        </w:rPr>
        <w:drawing>
          <wp:inline distT="0" distB="0" distL="0" distR="0" wp14:anchorId="37F41D53" wp14:editId="06D58D49">
            <wp:extent cx="5731510" cy="31623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477061">
        <w:rPr>
          <w:b w:val="0"/>
          <w:noProof/>
          <w:sz w:val="24"/>
          <w:szCs w:val="24"/>
          <w:lang w:eastAsia="en-AU"/>
        </w:rPr>
        <w:tab/>
      </w:r>
      <w:r w:rsidRPr="00477061">
        <w:rPr>
          <w:b w:val="0"/>
          <w:noProof/>
          <w:sz w:val="24"/>
          <w:szCs w:val="24"/>
          <w:lang w:eastAsia="en-AU"/>
        </w:rPr>
        <w:tab/>
      </w:r>
    </w:p>
    <w:p w14:paraId="46D7595B" w14:textId="77777777" w:rsidR="00477061" w:rsidRDefault="00477061" w:rsidP="00477061">
      <w:pPr>
        <w:pStyle w:val="ARHeading3"/>
        <w:rPr>
          <w:b w:val="0"/>
          <w:noProof/>
          <w:sz w:val="24"/>
          <w:szCs w:val="24"/>
          <w:lang w:eastAsia="en-AU"/>
        </w:rPr>
      </w:pPr>
      <w:r w:rsidRPr="00477061">
        <w:rPr>
          <w:noProof/>
          <w:sz w:val="24"/>
          <w:szCs w:val="24"/>
          <w:lang w:eastAsia="en-AU"/>
        </w:rPr>
        <w:lastRenderedPageBreak/>
        <w:t>Comment:</w:t>
      </w:r>
      <w:r>
        <w:rPr>
          <w:b w:val="0"/>
          <w:noProof/>
          <w:sz w:val="24"/>
          <w:szCs w:val="24"/>
          <w:lang w:eastAsia="en-AU"/>
        </w:rPr>
        <w:t xml:space="preserve"> </w:t>
      </w:r>
      <w:r w:rsidRPr="00477061">
        <w:rPr>
          <w:b w:val="0"/>
          <w:noProof/>
          <w:sz w:val="24"/>
          <w:szCs w:val="24"/>
          <w:lang w:eastAsia="en-AU"/>
        </w:rPr>
        <w:t>The result is better than target, which reflects the better than expected underwriting result of $37.6 million for the MVCIF. This is primarily due to the favourable movement in the outstanding claims provisions as previously explained.</w:t>
      </w:r>
    </w:p>
    <w:p w14:paraId="6356C95D" w14:textId="77777777" w:rsidR="00477061" w:rsidRDefault="00477061" w:rsidP="00477061">
      <w:pPr>
        <w:pStyle w:val="ARHeading3"/>
        <w:rPr>
          <w:b w:val="0"/>
          <w:noProof/>
          <w:sz w:val="24"/>
          <w:szCs w:val="24"/>
          <w:lang w:eastAsia="en-AU"/>
        </w:rPr>
      </w:pPr>
    </w:p>
    <w:p w14:paraId="782780DA" w14:textId="77777777" w:rsidR="00477061" w:rsidRDefault="00477061" w:rsidP="00477061">
      <w:pPr>
        <w:pStyle w:val="ARHeading3"/>
        <w:rPr>
          <w:noProof/>
          <w:sz w:val="24"/>
          <w:szCs w:val="24"/>
          <w:lang w:eastAsia="en-AU"/>
        </w:rPr>
      </w:pPr>
      <w:r>
        <w:rPr>
          <w:noProof/>
          <w:sz w:val="24"/>
          <w:szCs w:val="24"/>
          <w:lang w:eastAsia="en-AU"/>
        </w:rPr>
        <w:t>Outcome B – To provide affordable premiums to owners of Western Australian vehicles</w:t>
      </w:r>
    </w:p>
    <w:p w14:paraId="4367B07D" w14:textId="77777777" w:rsidR="00477061" w:rsidRDefault="00477061" w:rsidP="00477061">
      <w:pPr>
        <w:pStyle w:val="ARHeading3"/>
        <w:rPr>
          <w:noProof/>
          <w:sz w:val="24"/>
          <w:szCs w:val="24"/>
          <w:lang w:eastAsia="en-AU"/>
        </w:rPr>
      </w:pPr>
    </w:p>
    <w:p w14:paraId="7BEA95F4" w14:textId="77777777" w:rsidR="00477061" w:rsidRDefault="00477061" w:rsidP="00477061">
      <w:pPr>
        <w:pStyle w:val="ARHeading3"/>
        <w:rPr>
          <w:noProof/>
          <w:sz w:val="24"/>
          <w:szCs w:val="24"/>
          <w:lang w:eastAsia="en-AU"/>
        </w:rPr>
      </w:pPr>
      <w:r>
        <w:rPr>
          <w:noProof/>
          <w:sz w:val="24"/>
          <w:szCs w:val="24"/>
          <w:lang w:eastAsia="en-AU"/>
        </w:rPr>
        <w:t>Effectiveness Performance Indicator</w:t>
      </w:r>
    </w:p>
    <w:p w14:paraId="7F6DA9D0" w14:textId="77777777" w:rsidR="00477061" w:rsidRDefault="00477061" w:rsidP="00477061">
      <w:pPr>
        <w:pStyle w:val="ARHeading3"/>
        <w:rPr>
          <w:noProof/>
          <w:sz w:val="24"/>
          <w:szCs w:val="24"/>
          <w:lang w:eastAsia="en-AU"/>
        </w:rPr>
      </w:pPr>
    </w:p>
    <w:p w14:paraId="2D189304" w14:textId="3B84FF67" w:rsidR="00477061" w:rsidRDefault="00477061" w:rsidP="00477061">
      <w:pPr>
        <w:pStyle w:val="ARHeading3"/>
        <w:rPr>
          <w:noProof/>
          <w:sz w:val="24"/>
          <w:szCs w:val="24"/>
          <w:lang w:eastAsia="en-AU"/>
        </w:rPr>
      </w:pPr>
      <w:r>
        <w:rPr>
          <w:noProof/>
          <w:sz w:val="24"/>
          <w:szCs w:val="24"/>
          <w:lang w:eastAsia="en-AU"/>
        </w:rPr>
        <w:t>Affordability Index (%) – MII</w:t>
      </w:r>
    </w:p>
    <w:p w14:paraId="68AB9C48" w14:textId="77777777" w:rsidR="00477061" w:rsidRPr="00477061" w:rsidRDefault="00477061" w:rsidP="00477061">
      <w:pPr>
        <w:pStyle w:val="ARHeading3"/>
        <w:rPr>
          <w:b w:val="0"/>
          <w:noProof/>
          <w:sz w:val="24"/>
          <w:szCs w:val="24"/>
          <w:lang w:eastAsia="en-AU"/>
        </w:rPr>
      </w:pPr>
      <w:r w:rsidRPr="00477061">
        <w:rPr>
          <w:b w:val="0"/>
          <w:noProof/>
          <w:sz w:val="24"/>
          <w:szCs w:val="24"/>
          <w:lang w:eastAsia="en-AU"/>
        </w:rPr>
        <w:t>The 'Affordability Index' calculates the Motor Injury Insurance (MII) premium (excluding GST and insurance duty) for the average family vehicle as a percentage of one week’s worth of WA's average weekly earnings. The target is to have the MII premium for the average family vehicle at or below 25% of one week’s worth of WA’s average weekly earnings.</w:t>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p>
    <w:p w14:paraId="2F1835FC" w14:textId="77777777" w:rsidR="00477061" w:rsidRDefault="00477061" w:rsidP="00477061">
      <w:pPr>
        <w:pStyle w:val="ARHeading3"/>
      </w:pPr>
      <w:r>
        <w:rPr>
          <w:noProof/>
          <w:lang w:eastAsia="en-AU"/>
        </w:rPr>
        <w:drawing>
          <wp:inline distT="0" distB="0" distL="0" distR="0" wp14:anchorId="7A8CF405" wp14:editId="4BF4427F">
            <wp:extent cx="5731510" cy="3162300"/>
            <wp:effectExtent l="0" t="0" r="254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477061">
        <w:t xml:space="preserve"> </w:t>
      </w:r>
    </w:p>
    <w:p w14:paraId="64344A88" w14:textId="77777777" w:rsidR="00477061" w:rsidRDefault="00477061" w:rsidP="00477061">
      <w:pPr>
        <w:pStyle w:val="ARHeading3"/>
      </w:pPr>
    </w:p>
    <w:p w14:paraId="5D42E360" w14:textId="77777777" w:rsidR="00477061" w:rsidRDefault="00477061" w:rsidP="00477061">
      <w:pPr>
        <w:pStyle w:val="ARHeading3"/>
        <w:rPr>
          <w:b w:val="0"/>
          <w:noProof/>
          <w:sz w:val="24"/>
          <w:szCs w:val="24"/>
          <w:lang w:eastAsia="en-AU"/>
        </w:rPr>
      </w:pPr>
      <w:r>
        <w:rPr>
          <w:noProof/>
          <w:sz w:val="24"/>
          <w:szCs w:val="24"/>
          <w:lang w:eastAsia="en-AU"/>
        </w:rPr>
        <w:t xml:space="preserve">Comment: </w:t>
      </w:r>
      <w:r w:rsidRPr="00477061">
        <w:rPr>
          <w:b w:val="0"/>
          <w:noProof/>
          <w:sz w:val="24"/>
          <w:szCs w:val="24"/>
          <w:lang w:eastAsia="en-AU"/>
        </w:rPr>
        <w:t>WA's motor injury insurance premium price is one of the most affordable in Australia, when measured as a proportion of one week's average weekly earnings in Western Australia.</w:t>
      </w:r>
      <w:r w:rsidRPr="00477061">
        <w:rPr>
          <w:b w:val="0"/>
          <w:noProof/>
          <w:sz w:val="24"/>
          <w:szCs w:val="24"/>
          <w:lang w:eastAsia="en-AU"/>
        </w:rPr>
        <w:tab/>
      </w:r>
    </w:p>
    <w:p w14:paraId="7B5D339E" w14:textId="77777777" w:rsidR="00477061" w:rsidRDefault="00477061" w:rsidP="00477061">
      <w:pPr>
        <w:pStyle w:val="ARHeading3"/>
        <w:rPr>
          <w:b w:val="0"/>
          <w:noProof/>
          <w:sz w:val="24"/>
          <w:szCs w:val="24"/>
          <w:lang w:eastAsia="en-AU"/>
        </w:rPr>
      </w:pPr>
    </w:p>
    <w:p w14:paraId="41922EAE" w14:textId="6581D296" w:rsidR="00477061" w:rsidRDefault="00477061" w:rsidP="00477061">
      <w:pPr>
        <w:pStyle w:val="ARHeading3"/>
        <w:rPr>
          <w:noProof/>
          <w:sz w:val="24"/>
          <w:szCs w:val="24"/>
          <w:lang w:eastAsia="en-AU"/>
        </w:rPr>
      </w:pPr>
      <w:r>
        <w:rPr>
          <w:noProof/>
          <w:sz w:val="24"/>
          <w:szCs w:val="24"/>
          <w:lang w:eastAsia="en-AU"/>
        </w:rPr>
        <w:t>Efficiency Performance Indicator</w:t>
      </w:r>
    </w:p>
    <w:p w14:paraId="4078C059" w14:textId="77777777" w:rsidR="00477061" w:rsidRDefault="00477061" w:rsidP="00477061">
      <w:pPr>
        <w:pStyle w:val="ARHeading3"/>
        <w:rPr>
          <w:noProof/>
          <w:sz w:val="24"/>
          <w:szCs w:val="24"/>
          <w:lang w:eastAsia="en-AU"/>
        </w:rPr>
      </w:pPr>
    </w:p>
    <w:p w14:paraId="7377F9D6" w14:textId="78E2967C" w:rsidR="00477061" w:rsidRDefault="00477061" w:rsidP="00477061">
      <w:pPr>
        <w:pStyle w:val="ARHeading3"/>
        <w:rPr>
          <w:noProof/>
          <w:sz w:val="24"/>
          <w:szCs w:val="24"/>
          <w:lang w:eastAsia="en-AU"/>
        </w:rPr>
      </w:pPr>
      <w:r>
        <w:rPr>
          <w:noProof/>
          <w:sz w:val="24"/>
          <w:szCs w:val="24"/>
          <w:lang w:eastAsia="en-AU"/>
        </w:rPr>
        <w:t>Gross Expense Ratio (%) – MII</w:t>
      </w:r>
    </w:p>
    <w:p w14:paraId="37B5A600" w14:textId="77777777" w:rsidR="00477061" w:rsidRDefault="00477061" w:rsidP="00477061">
      <w:pPr>
        <w:pStyle w:val="ARHeading3"/>
        <w:rPr>
          <w:b w:val="0"/>
          <w:noProof/>
          <w:sz w:val="24"/>
          <w:szCs w:val="24"/>
          <w:lang w:eastAsia="en-AU"/>
        </w:rPr>
      </w:pPr>
      <w:r w:rsidRPr="00477061">
        <w:rPr>
          <w:b w:val="0"/>
          <w:noProof/>
          <w:sz w:val="24"/>
          <w:szCs w:val="24"/>
          <w:lang w:eastAsia="en-AU"/>
        </w:rPr>
        <w:t xml:space="preserve">This KPI calculates total underwriting and administration costs as a percentage of gross written premiums collected. This KPI measures how efficiently the Insurance Commission manages the WA Motor Injury Insurance scheme. </w:t>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lastRenderedPageBreak/>
        <w:tab/>
      </w:r>
      <w:r>
        <w:rPr>
          <w:noProof/>
          <w:lang w:eastAsia="en-AU"/>
        </w:rPr>
        <w:drawing>
          <wp:inline distT="0" distB="0" distL="0" distR="0" wp14:anchorId="03E64F63" wp14:editId="1A646BF8">
            <wp:extent cx="5731510" cy="312801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3BA5B4" w14:textId="77777777" w:rsidR="00477061" w:rsidRDefault="00477061" w:rsidP="00477061">
      <w:pPr>
        <w:pStyle w:val="ARHeading3"/>
        <w:rPr>
          <w:b w:val="0"/>
          <w:noProof/>
          <w:sz w:val="24"/>
          <w:szCs w:val="24"/>
          <w:lang w:eastAsia="en-AU"/>
        </w:rPr>
      </w:pPr>
    </w:p>
    <w:p w14:paraId="0CA97677" w14:textId="77777777" w:rsidR="00477061" w:rsidRDefault="00477061" w:rsidP="00477061">
      <w:pPr>
        <w:pStyle w:val="ARHeading3"/>
        <w:rPr>
          <w:b w:val="0"/>
          <w:noProof/>
          <w:sz w:val="24"/>
          <w:szCs w:val="24"/>
          <w:lang w:eastAsia="en-AU"/>
        </w:rPr>
      </w:pPr>
      <w:r w:rsidRPr="00477061">
        <w:rPr>
          <w:noProof/>
          <w:sz w:val="24"/>
          <w:szCs w:val="24"/>
          <w:lang w:eastAsia="en-AU"/>
        </w:rPr>
        <w:t>Comment:</w:t>
      </w:r>
      <w:r>
        <w:rPr>
          <w:b w:val="0"/>
          <w:noProof/>
          <w:sz w:val="24"/>
          <w:szCs w:val="24"/>
          <w:lang w:eastAsia="en-AU"/>
        </w:rPr>
        <w:t xml:space="preserve"> </w:t>
      </w:r>
      <w:r w:rsidRPr="00477061">
        <w:rPr>
          <w:b w:val="0"/>
          <w:noProof/>
          <w:sz w:val="24"/>
          <w:szCs w:val="24"/>
          <w:lang w:eastAsia="en-AU"/>
        </w:rPr>
        <w:t>The result is marginally above target. While direct administration expenses (6.9%) were lower than budget, the gross written premiums were also lower than forecast (1.1%). This KPI reflects divisional efforts taken to keep Insurance Commission's operating costs low.</w:t>
      </w:r>
      <w:r w:rsidRPr="00477061">
        <w:rPr>
          <w:b w:val="0"/>
          <w:noProof/>
          <w:sz w:val="24"/>
          <w:szCs w:val="24"/>
          <w:lang w:eastAsia="en-AU"/>
        </w:rPr>
        <w:tab/>
      </w:r>
    </w:p>
    <w:p w14:paraId="14C61D7D" w14:textId="77777777" w:rsidR="00477061" w:rsidRDefault="00477061" w:rsidP="00477061">
      <w:pPr>
        <w:pStyle w:val="ARHeading3"/>
        <w:rPr>
          <w:b w:val="0"/>
          <w:noProof/>
          <w:sz w:val="24"/>
          <w:szCs w:val="24"/>
          <w:lang w:eastAsia="en-AU"/>
        </w:rPr>
      </w:pPr>
    </w:p>
    <w:p w14:paraId="3D75E22B" w14:textId="77777777" w:rsidR="00477061" w:rsidRDefault="00477061" w:rsidP="00477061">
      <w:pPr>
        <w:pStyle w:val="ARHeading3"/>
        <w:rPr>
          <w:noProof/>
          <w:sz w:val="24"/>
          <w:szCs w:val="24"/>
          <w:lang w:eastAsia="en-AU"/>
        </w:rPr>
      </w:pPr>
      <w:r>
        <w:rPr>
          <w:noProof/>
          <w:sz w:val="24"/>
          <w:szCs w:val="24"/>
          <w:lang w:eastAsia="en-AU"/>
        </w:rPr>
        <w:t>Outcome C – To provide a claims system that treats claimants fairly, delivers equitable compensation and a necessary and reasonable level of care and support</w:t>
      </w:r>
    </w:p>
    <w:p w14:paraId="352F971A" w14:textId="77777777" w:rsidR="00477061" w:rsidRDefault="00477061" w:rsidP="00477061">
      <w:pPr>
        <w:pStyle w:val="ARHeading3"/>
        <w:rPr>
          <w:noProof/>
          <w:sz w:val="24"/>
          <w:szCs w:val="24"/>
          <w:lang w:eastAsia="en-AU"/>
        </w:rPr>
      </w:pPr>
    </w:p>
    <w:p w14:paraId="7DC48B4C" w14:textId="77777777" w:rsidR="00477061" w:rsidRDefault="00477061" w:rsidP="00477061">
      <w:pPr>
        <w:pStyle w:val="ARHeading3"/>
        <w:rPr>
          <w:noProof/>
          <w:sz w:val="24"/>
          <w:szCs w:val="24"/>
          <w:lang w:eastAsia="en-AU"/>
        </w:rPr>
      </w:pPr>
      <w:r>
        <w:rPr>
          <w:noProof/>
          <w:sz w:val="24"/>
          <w:szCs w:val="24"/>
          <w:lang w:eastAsia="en-AU"/>
        </w:rPr>
        <w:t>Effectiveness Performance Indicators</w:t>
      </w:r>
    </w:p>
    <w:p w14:paraId="1D8DDB36" w14:textId="77777777" w:rsidR="00477061" w:rsidRDefault="00477061" w:rsidP="00477061">
      <w:pPr>
        <w:pStyle w:val="ARHeading3"/>
        <w:rPr>
          <w:noProof/>
          <w:sz w:val="24"/>
          <w:szCs w:val="24"/>
          <w:lang w:eastAsia="en-AU"/>
        </w:rPr>
      </w:pPr>
    </w:p>
    <w:p w14:paraId="661F5E49" w14:textId="6DA6496C" w:rsidR="00477061" w:rsidRDefault="00477061" w:rsidP="00477061">
      <w:pPr>
        <w:pStyle w:val="ARHeading3"/>
        <w:rPr>
          <w:noProof/>
          <w:sz w:val="24"/>
          <w:szCs w:val="24"/>
          <w:lang w:eastAsia="en-AU"/>
        </w:rPr>
      </w:pPr>
      <w:r>
        <w:rPr>
          <w:noProof/>
          <w:sz w:val="24"/>
          <w:szCs w:val="24"/>
          <w:lang w:eastAsia="en-AU"/>
        </w:rPr>
        <w:t>Proportion of Claims Payments made for the Direct Benefit of Claimants (%) – MII</w:t>
      </w:r>
    </w:p>
    <w:p w14:paraId="5C7BC758" w14:textId="77777777" w:rsidR="00477061" w:rsidRDefault="00477061" w:rsidP="00477061">
      <w:pPr>
        <w:pStyle w:val="ARHeading3"/>
        <w:rPr>
          <w:b w:val="0"/>
          <w:noProof/>
          <w:sz w:val="24"/>
          <w:szCs w:val="24"/>
          <w:lang w:eastAsia="en-AU"/>
        </w:rPr>
      </w:pPr>
      <w:r w:rsidRPr="00477061">
        <w:rPr>
          <w:b w:val="0"/>
          <w:noProof/>
          <w:sz w:val="24"/>
          <w:szCs w:val="24"/>
          <w:lang w:eastAsia="en-AU"/>
        </w:rPr>
        <w:t>This KPI calculates claims payments made for the direct benefit of claimants as a percentage of the total claim payments made in a financial year. Claims payments that do not go to the direct benefit of the claimant include the Insurance Commission's claims management, legal and investigation costs ordinarily incurred (approximately 10%). This KPI reflects the Motor Injury Insurance Division's effectiveness in minimising the financial hardship of claimants and del</w:t>
      </w:r>
      <w:r>
        <w:rPr>
          <w:b w:val="0"/>
          <w:noProof/>
          <w:sz w:val="24"/>
          <w:szCs w:val="24"/>
          <w:lang w:eastAsia="en-AU"/>
        </w:rPr>
        <w:t>ivering equitable compensation.</w:t>
      </w:r>
    </w:p>
    <w:p w14:paraId="326EFBFE" w14:textId="77777777" w:rsidR="00477061" w:rsidRDefault="00477061" w:rsidP="00477061">
      <w:pPr>
        <w:pStyle w:val="ARHeading3"/>
      </w:pPr>
      <w:r>
        <w:rPr>
          <w:noProof/>
          <w:lang w:eastAsia="en-AU"/>
        </w:rPr>
        <w:lastRenderedPageBreak/>
        <w:drawing>
          <wp:inline distT="0" distB="0" distL="0" distR="0" wp14:anchorId="168CCBBD" wp14:editId="1C44A28C">
            <wp:extent cx="5731510" cy="316166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77061">
        <w:t xml:space="preserve"> </w:t>
      </w:r>
    </w:p>
    <w:p w14:paraId="555A2643" w14:textId="77777777" w:rsidR="00477061" w:rsidRDefault="00477061" w:rsidP="00477061">
      <w:pPr>
        <w:pStyle w:val="ARHeading3"/>
      </w:pPr>
    </w:p>
    <w:p w14:paraId="548B6916" w14:textId="77777777" w:rsidR="00477061" w:rsidRDefault="00477061" w:rsidP="00477061">
      <w:pPr>
        <w:pStyle w:val="ARHeading3"/>
        <w:rPr>
          <w:b w:val="0"/>
          <w:noProof/>
          <w:sz w:val="24"/>
          <w:szCs w:val="24"/>
          <w:lang w:eastAsia="en-AU"/>
        </w:rPr>
      </w:pPr>
      <w:r w:rsidRPr="00477061">
        <w:rPr>
          <w:noProof/>
          <w:sz w:val="24"/>
          <w:szCs w:val="24"/>
          <w:lang w:eastAsia="en-AU"/>
        </w:rPr>
        <w:t>Comment:</w:t>
      </w:r>
      <w:r>
        <w:rPr>
          <w:b w:val="0"/>
          <w:noProof/>
          <w:sz w:val="24"/>
          <w:szCs w:val="24"/>
          <w:lang w:eastAsia="en-AU"/>
        </w:rPr>
        <w:t xml:space="preserve"> </w:t>
      </w:r>
      <w:r w:rsidRPr="00477061">
        <w:rPr>
          <w:b w:val="0"/>
          <w:noProof/>
          <w:sz w:val="24"/>
          <w:szCs w:val="24"/>
          <w:lang w:eastAsia="en-AU"/>
        </w:rPr>
        <w:t>The result is marginally lower than target. The payments for claimant benefit for 2018 are $51.7 million less than 2017, however the operations and legal fees amount has remained steady. This has caused a proportional percentage increase in operational costs resulting in the measure being marginally lower than target.</w:t>
      </w:r>
      <w:r w:rsidRPr="00477061">
        <w:rPr>
          <w:b w:val="0"/>
          <w:noProof/>
          <w:sz w:val="24"/>
          <w:szCs w:val="24"/>
          <w:lang w:eastAsia="en-AU"/>
        </w:rPr>
        <w:tab/>
      </w:r>
      <w:r w:rsidRPr="00477061">
        <w:rPr>
          <w:b w:val="0"/>
          <w:noProof/>
          <w:sz w:val="24"/>
          <w:szCs w:val="24"/>
          <w:lang w:eastAsia="en-AU"/>
        </w:rPr>
        <w:tab/>
      </w:r>
    </w:p>
    <w:p w14:paraId="7BB63136" w14:textId="77777777" w:rsidR="00477061" w:rsidRDefault="00477061" w:rsidP="00477061">
      <w:pPr>
        <w:pStyle w:val="ARHeading3"/>
        <w:rPr>
          <w:b w:val="0"/>
          <w:noProof/>
          <w:sz w:val="24"/>
          <w:szCs w:val="24"/>
          <w:lang w:eastAsia="en-AU"/>
        </w:rPr>
      </w:pPr>
    </w:p>
    <w:p w14:paraId="4390B689" w14:textId="77777777" w:rsidR="00477061" w:rsidRDefault="00477061" w:rsidP="00477061">
      <w:pPr>
        <w:pStyle w:val="ARHeading3"/>
        <w:rPr>
          <w:noProof/>
          <w:sz w:val="24"/>
          <w:szCs w:val="24"/>
          <w:lang w:eastAsia="en-AU"/>
        </w:rPr>
      </w:pPr>
      <w:r w:rsidRPr="00477061">
        <w:rPr>
          <w:noProof/>
          <w:sz w:val="24"/>
          <w:szCs w:val="24"/>
          <w:lang w:eastAsia="en-AU"/>
        </w:rPr>
        <w:t>Timeliness of Liability Determination (%) - MII</w:t>
      </w:r>
      <w:r w:rsidRPr="00477061">
        <w:rPr>
          <w:noProof/>
          <w:sz w:val="24"/>
          <w:szCs w:val="24"/>
          <w:lang w:eastAsia="en-AU"/>
        </w:rPr>
        <w:tab/>
      </w:r>
    </w:p>
    <w:p w14:paraId="6E846CD3" w14:textId="77777777" w:rsidR="00477061" w:rsidRDefault="00477061" w:rsidP="00477061">
      <w:pPr>
        <w:pStyle w:val="ARHeading3"/>
        <w:rPr>
          <w:b w:val="0"/>
          <w:noProof/>
          <w:sz w:val="24"/>
          <w:szCs w:val="24"/>
          <w:lang w:eastAsia="en-AU"/>
        </w:rPr>
      </w:pPr>
      <w:r w:rsidRPr="00477061">
        <w:rPr>
          <w:b w:val="0"/>
          <w:noProof/>
          <w:sz w:val="24"/>
          <w:szCs w:val="24"/>
          <w:lang w:eastAsia="en-AU"/>
        </w:rPr>
        <w:t xml:space="preserve">This KPI calculates the timeliness of liability decisions for Motor Injury Insurance claims. The target requires that a decision be made on claims within 25 days from the date of lodgement of the claim to ensure claimants are treated fairly. </w:t>
      </w:r>
      <w:r w:rsidRPr="00477061">
        <w:rPr>
          <w:b w:val="0"/>
          <w:noProof/>
          <w:sz w:val="24"/>
          <w:szCs w:val="24"/>
          <w:lang w:eastAsia="en-AU"/>
        </w:rPr>
        <w:tab/>
      </w:r>
      <w:r w:rsidRPr="00477061">
        <w:rPr>
          <w:b w:val="0"/>
          <w:noProof/>
          <w:sz w:val="24"/>
          <w:szCs w:val="24"/>
          <w:lang w:eastAsia="en-AU"/>
        </w:rPr>
        <w:tab/>
      </w:r>
      <w:r>
        <w:rPr>
          <w:noProof/>
          <w:lang w:eastAsia="en-AU"/>
        </w:rPr>
        <w:drawing>
          <wp:inline distT="0" distB="0" distL="0" distR="0" wp14:anchorId="6251E817" wp14:editId="77C0084C">
            <wp:extent cx="5731510" cy="3162300"/>
            <wp:effectExtent l="0" t="0" r="254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727900" w14:textId="77777777" w:rsidR="00477061" w:rsidRDefault="00477061" w:rsidP="00477061">
      <w:pPr>
        <w:pStyle w:val="ARHeading3"/>
        <w:rPr>
          <w:b w:val="0"/>
          <w:noProof/>
          <w:sz w:val="24"/>
          <w:szCs w:val="24"/>
          <w:lang w:eastAsia="en-AU"/>
        </w:rPr>
      </w:pPr>
    </w:p>
    <w:p w14:paraId="421BAC32" w14:textId="77777777" w:rsidR="00477061" w:rsidRDefault="00477061" w:rsidP="00477061">
      <w:pPr>
        <w:pStyle w:val="ARHeading3"/>
        <w:rPr>
          <w:b w:val="0"/>
          <w:noProof/>
          <w:sz w:val="24"/>
          <w:szCs w:val="24"/>
          <w:lang w:eastAsia="en-AU"/>
        </w:rPr>
      </w:pPr>
      <w:r w:rsidRPr="00477061">
        <w:rPr>
          <w:noProof/>
          <w:sz w:val="24"/>
          <w:szCs w:val="24"/>
          <w:lang w:eastAsia="en-AU"/>
        </w:rPr>
        <w:lastRenderedPageBreak/>
        <w:t xml:space="preserve">Comment: </w:t>
      </w:r>
      <w:r w:rsidRPr="00477061">
        <w:rPr>
          <w:b w:val="0"/>
          <w:noProof/>
          <w:sz w:val="24"/>
          <w:szCs w:val="24"/>
          <w:lang w:eastAsia="en-AU"/>
        </w:rPr>
        <w:t>This measure is slightly better than the 2017 result but below target. The result was impacted by an increase in the number of claims that require greater scrutiny and more involved investigations arising from suspected claims harvesting activities.</w:t>
      </w:r>
      <w:r w:rsidRPr="00477061">
        <w:rPr>
          <w:b w:val="0"/>
          <w:noProof/>
          <w:sz w:val="24"/>
          <w:szCs w:val="24"/>
          <w:lang w:eastAsia="en-AU"/>
        </w:rPr>
        <w:tab/>
      </w:r>
    </w:p>
    <w:p w14:paraId="1E2EB372" w14:textId="77777777" w:rsidR="00477061" w:rsidRDefault="00477061" w:rsidP="00477061">
      <w:pPr>
        <w:pStyle w:val="ARHeading3"/>
        <w:rPr>
          <w:b w:val="0"/>
          <w:noProof/>
          <w:sz w:val="24"/>
          <w:szCs w:val="24"/>
          <w:lang w:eastAsia="en-AU"/>
        </w:rPr>
      </w:pPr>
    </w:p>
    <w:p w14:paraId="00A6E074" w14:textId="0DA6B35F" w:rsidR="00477061" w:rsidRDefault="00477061" w:rsidP="00477061">
      <w:pPr>
        <w:pStyle w:val="ARHeading3"/>
        <w:rPr>
          <w:noProof/>
          <w:sz w:val="24"/>
          <w:szCs w:val="24"/>
          <w:lang w:eastAsia="en-AU"/>
        </w:rPr>
      </w:pPr>
      <w:r>
        <w:rPr>
          <w:noProof/>
          <w:sz w:val="24"/>
          <w:szCs w:val="24"/>
          <w:lang w:eastAsia="en-AU"/>
        </w:rPr>
        <w:t>Timeliness of Initial Contact with Treating Health Team (%) – MII</w:t>
      </w:r>
    </w:p>
    <w:p w14:paraId="061A6E11" w14:textId="77777777" w:rsidR="00477061" w:rsidRDefault="00477061" w:rsidP="00477061">
      <w:pPr>
        <w:pStyle w:val="ARHeading3"/>
        <w:rPr>
          <w:b w:val="0"/>
          <w:noProof/>
          <w:sz w:val="24"/>
          <w:szCs w:val="24"/>
          <w:lang w:eastAsia="en-AU"/>
        </w:rPr>
      </w:pPr>
      <w:r w:rsidRPr="00477061">
        <w:rPr>
          <w:b w:val="0"/>
          <w:noProof/>
          <w:sz w:val="24"/>
          <w:szCs w:val="24"/>
          <w:lang w:eastAsia="en-AU"/>
        </w:rPr>
        <w:t>This KPI calculates the timeliness of the initial contact with the injured party’s treating health team and requires contact be made within three business days from receipt of a catastrophic injury notification.</w:t>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Pr>
          <w:noProof/>
          <w:lang w:eastAsia="en-AU"/>
        </w:rPr>
        <w:drawing>
          <wp:inline distT="0" distB="0" distL="0" distR="0" wp14:anchorId="17ED01A8" wp14:editId="496B5F68">
            <wp:extent cx="5731510" cy="307213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3CCDA6" w14:textId="77777777" w:rsidR="00477061" w:rsidRDefault="00477061" w:rsidP="00477061">
      <w:pPr>
        <w:pStyle w:val="ARHeading3"/>
        <w:rPr>
          <w:b w:val="0"/>
          <w:noProof/>
          <w:sz w:val="24"/>
          <w:szCs w:val="24"/>
          <w:lang w:eastAsia="en-AU"/>
        </w:rPr>
      </w:pPr>
    </w:p>
    <w:p w14:paraId="17A64F71" w14:textId="1FA47C32" w:rsidR="00477061" w:rsidRDefault="00477061" w:rsidP="00477061">
      <w:pPr>
        <w:pStyle w:val="ARHeading3"/>
        <w:rPr>
          <w:b w:val="0"/>
          <w:noProof/>
          <w:sz w:val="24"/>
          <w:szCs w:val="24"/>
          <w:lang w:eastAsia="en-AU"/>
        </w:rPr>
      </w:pPr>
      <w:r w:rsidRPr="00477061">
        <w:rPr>
          <w:noProof/>
          <w:sz w:val="24"/>
          <w:szCs w:val="24"/>
          <w:lang w:eastAsia="en-AU"/>
        </w:rPr>
        <w:t>Comment:</w:t>
      </w:r>
      <w:r>
        <w:rPr>
          <w:b w:val="0"/>
          <w:noProof/>
          <w:sz w:val="24"/>
          <w:szCs w:val="24"/>
          <w:lang w:eastAsia="en-AU"/>
        </w:rPr>
        <w:t xml:space="preserve"> </w:t>
      </w:r>
      <w:r w:rsidRPr="00477061">
        <w:rPr>
          <w:b w:val="0"/>
          <w:noProof/>
          <w:sz w:val="24"/>
          <w:szCs w:val="24"/>
          <w:lang w:eastAsia="en-AU"/>
        </w:rPr>
        <w:t>This result is better than target. During the financial year, in 97.3% of cases, the treating health team for potentially catastrophic injured parties, were contacted within three business days of the Insurance Commission being notified of the injury.</w:t>
      </w:r>
      <w:r w:rsidRPr="00477061">
        <w:rPr>
          <w:b w:val="0"/>
          <w:noProof/>
          <w:sz w:val="24"/>
          <w:szCs w:val="24"/>
          <w:lang w:eastAsia="en-AU"/>
        </w:rPr>
        <w:tab/>
      </w:r>
    </w:p>
    <w:p w14:paraId="043D4895" w14:textId="77777777" w:rsidR="00477061" w:rsidRDefault="00477061" w:rsidP="00477061">
      <w:pPr>
        <w:pStyle w:val="ARHeading3"/>
        <w:rPr>
          <w:b w:val="0"/>
          <w:noProof/>
          <w:sz w:val="24"/>
          <w:szCs w:val="24"/>
          <w:lang w:eastAsia="en-AU"/>
        </w:rPr>
      </w:pPr>
    </w:p>
    <w:p w14:paraId="3E163B5E" w14:textId="17225DEB" w:rsidR="00477061" w:rsidRDefault="00477061" w:rsidP="00477061">
      <w:pPr>
        <w:pStyle w:val="ARHeading3"/>
        <w:rPr>
          <w:noProof/>
          <w:sz w:val="24"/>
          <w:szCs w:val="24"/>
          <w:lang w:eastAsia="en-AU"/>
        </w:rPr>
      </w:pPr>
      <w:r>
        <w:rPr>
          <w:noProof/>
          <w:sz w:val="24"/>
          <w:szCs w:val="24"/>
          <w:lang w:eastAsia="en-AU"/>
        </w:rPr>
        <w:t>Catastrophically Injuried Claimant Satisfaction with the Level of Care and Support Services Provided (%) – MII</w:t>
      </w:r>
    </w:p>
    <w:p w14:paraId="699B56B6" w14:textId="77777777" w:rsidR="00477061" w:rsidRPr="00477061" w:rsidRDefault="00477061" w:rsidP="00477061">
      <w:pPr>
        <w:pStyle w:val="ARHeading3"/>
        <w:rPr>
          <w:b w:val="0"/>
          <w:noProof/>
          <w:sz w:val="24"/>
          <w:szCs w:val="24"/>
          <w:lang w:eastAsia="en-AU"/>
        </w:rPr>
      </w:pPr>
      <w:r w:rsidRPr="00477061">
        <w:rPr>
          <w:b w:val="0"/>
          <w:noProof/>
          <w:sz w:val="24"/>
          <w:szCs w:val="24"/>
          <w:lang w:eastAsia="en-AU"/>
        </w:rPr>
        <w:t>This KPI measures the effectiveness of services provided and is determined by client survey.</w:t>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p>
    <w:p w14:paraId="511BA506" w14:textId="77777777" w:rsidR="00477061" w:rsidRDefault="00477061" w:rsidP="00477061">
      <w:pPr>
        <w:pStyle w:val="ARHeading3"/>
        <w:rPr>
          <w:noProof/>
          <w:sz w:val="24"/>
          <w:szCs w:val="24"/>
          <w:lang w:eastAsia="en-AU"/>
        </w:rPr>
      </w:pPr>
      <w:r>
        <w:rPr>
          <w:noProof/>
          <w:lang w:eastAsia="en-AU"/>
        </w:rPr>
        <w:lastRenderedPageBreak/>
        <w:drawing>
          <wp:inline distT="0" distB="0" distL="0" distR="0" wp14:anchorId="6CF6DC38" wp14:editId="7DF01D7B">
            <wp:extent cx="5731510" cy="308864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FD6860" w14:textId="77777777" w:rsidR="00477061" w:rsidRDefault="00477061" w:rsidP="00477061">
      <w:pPr>
        <w:pStyle w:val="ARHeading3"/>
        <w:rPr>
          <w:noProof/>
          <w:sz w:val="24"/>
          <w:szCs w:val="24"/>
          <w:lang w:eastAsia="en-AU"/>
        </w:rPr>
      </w:pPr>
    </w:p>
    <w:p w14:paraId="0A25A025" w14:textId="77777777" w:rsidR="00FC08D5" w:rsidRDefault="00477061" w:rsidP="00477061">
      <w:pPr>
        <w:pStyle w:val="ARHeading3"/>
        <w:rPr>
          <w:b w:val="0"/>
          <w:noProof/>
          <w:sz w:val="24"/>
          <w:szCs w:val="24"/>
          <w:lang w:eastAsia="en-AU"/>
        </w:rPr>
      </w:pPr>
      <w:r>
        <w:rPr>
          <w:noProof/>
          <w:sz w:val="24"/>
          <w:szCs w:val="24"/>
          <w:lang w:eastAsia="en-AU"/>
        </w:rPr>
        <w:t xml:space="preserve">Comment: </w:t>
      </w:r>
      <w:r w:rsidRPr="00477061">
        <w:rPr>
          <w:b w:val="0"/>
          <w:noProof/>
          <w:sz w:val="24"/>
          <w:szCs w:val="24"/>
          <w:lang w:eastAsia="en-AU"/>
        </w:rPr>
        <w:t>The result is significantly above target. 96.4% of respondents indicated they were satisfied or extremely satisfied with the level of care and support services provided by the Insurance Commission.</w:t>
      </w:r>
      <w:r w:rsidRPr="00477061">
        <w:rPr>
          <w:b w:val="0"/>
          <w:noProof/>
          <w:sz w:val="24"/>
          <w:szCs w:val="24"/>
          <w:lang w:eastAsia="en-AU"/>
        </w:rPr>
        <w:tab/>
      </w:r>
    </w:p>
    <w:p w14:paraId="43C099C7" w14:textId="77777777" w:rsidR="00FC08D5" w:rsidRDefault="00FC08D5" w:rsidP="00477061">
      <w:pPr>
        <w:pStyle w:val="ARHeading3"/>
        <w:rPr>
          <w:b w:val="0"/>
          <w:noProof/>
          <w:sz w:val="24"/>
          <w:szCs w:val="24"/>
          <w:lang w:eastAsia="en-AU"/>
        </w:rPr>
      </w:pPr>
    </w:p>
    <w:p w14:paraId="4ED83D76" w14:textId="77777777" w:rsidR="00FC08D5" w:rsidRDefault="00FC08D5" w:rsidP="00477061">
      <w:pPr>
        <w:pStyle w:val="ARHeading3"/>
        <w:rPr>
          <w:noProof/>
          <w:sz w:val="24"/>
          <w:szCs w:val="24"/>
          <w:lang w:eastAsia="en-AU"/>
        </w:rPr>
      </w:pPr>
      <w:r>
        <w:rPr>
          <w:noProof/>
          <w:sz w:val="24"/>
          <w:szCs w:val="24"/>
          <w:lang w:eastAsia="en-AU"/>
        </w:rPr>
        <w:t>Efficiency Performance Indicators</w:t>
      </w:r>
    </w:p>
    <w:p w14:paraId="0C9985EE" w14:textId="77777777" w:rsidR="00FC08D5" w:rsidRDefault="00FC08D5" w:rsidP="00477061">
      <w:pPr>
        <w:pStyle w:val="ARHeading3"/>
        <w:rPr>
          <w:noProof/>
          <w:sz w:val="24"/>
          <w:szCs w:val="24"/>
          <w:lang w:eastAsia="en-AU"/>
        </w:rPr>
      </w:pPr>
    </w:p>
    <w:p w14:paraId="218CF061" w14:textId="77777777" w:rsidR="00FC08D5" w:rsidRDefault="00FC08D5" w:rsidP="00477061">
      <w:pPr>
        <w:pStyle w:val="ARHeading3"/>
        <w:rPr>
          <w:noProof/>
          <w:sz w:val="24"/>
          <w:szCs w:val="24"/>
          <w:lang w:eastAsia="en-AU"/>
        </w:rPr>
      </w:pPr>
      <w:r>
        <w:rPr>
          <w:noProof/>
          <w:sz w:val="24"/>
          <w:szCs w:val="24"/>
          <w:lang w:eastAsia="en-AU"/>
        </w:rPr>
        <w:t>Claims Administration Costs per Claim Administered ($) - MII</w:t>
      </w:r>
      <w:r w:rsidR="00477061" w:rsidRPr="00477061">
        <w:rPr>
          <w:noProof/>
          <w:sz w:val="24"/>
          <w:szCs w:val="24"/>
          <w:lang w:eastAsia="en-AU"/>
        </w:rPr>
        <w:tab/>
      </w:r>
    </w:p>
    <w:p w14:paraId="3E978418" w14:textId="77777777" w:rsidR="00FC08D5" w:rsidRPr="00FC08D5" w:rsidRDefault="00FC08D5" w:rsidP="00FC08D5">
      <w:pPr>
        <w:pStyle w:val="ARHeading3"/>
        <w:rPr>
          <w:b w:val="0"/>
          <w:noProof/>
          <w:sz w:val="24"/>
          <w:szCs w:val="24"/>
          <w:lang w:eastAsia="en-AU"/>
        </w:rPr>
      </w:pPr>
      <w:r w:rsidRPr="00FC08D5">
        <w:rPr>
          <w:b w:val="0"/>
          <w:noProof/>
          <w:sz w:val="24"/>
          <w:szCs w:val="24"/>
          <w:lang w:eastAsia="en-AU"/>
        </w:rPr>
        <w:t>This KPI calculates claims administration costs divided by the number of claims administered in the period. This KPI measures the efficiency of claims administration.</w:t>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p>
    <w:p w14:paraId="48FE5BA1" w14:textId="610E19CF" w:rsidR="00FC08D5" w:rsidRPr="00FC08D5" w:rsidRDefault="00FC08D5" w:rsidP="00FC08D5">
      <w:pPr>
        <w:jc w:val="left"/>
        <w:rPr>
          <w:rFonts w:ascii="Arial" w:hAnsi="Arial" w:cs="Arial"/>
          <w:sz w:val="16"/>
          <w:szCs w:val="16"/>
          <w:lang w:eastAsia="en-AU"/>
        </w:rPr>
      </w:pPr>
      <w:r>
        <w:rPr>
          <w:noProof/>
          <w:lang w:eastAsia="en-AU"/>
        </w:rPr>
        <w:drawing>
          <wp:inline distT="0" distB="0" distL="0" distR="0" wp14:anchorId="762B8417" wp14:editId="48A41C26">
            <wp:extent cx="5731510" cy="31623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FC08D5">
        <w:rPr>
          <w:rFonts w:ascii="Arial" w:hAnsi="Arial" w:cs="Arial"/>
          <w:sz w:val="16"/>
          <w:szCs w:val="16"/>
        </w:rPr>
        <w:t xml:space="preserve"> </w:t>
      </w:r>
      <w:r w:rsidRPr="00FC08D5">
        <w:rPr>
          <w:rFonts w:ascii="Arial" w:hAnsi="Arial" w:cs="Arial"/>
          <w:sz w:val="16"/>
          <w:szCs w:val="16"/>
          <w:lang w:eastAsia="en-AU"/>
        </w:rPr>
        <w:t>*Prior 2017 year results include TPIF only. Current year result excludes Bell costs.</w:t>
      </w:r>
    </w:p>
    <w:p w14:paraId="750110BC" w14:textId="77777777" w:rsidR="00FC08D5" w:rsidRDefault="00FC08D5" w:rsidP="00FC08D5">
      <w:pPr>
        <w:pStyle w:val="ARHeading3"/>
        <w:rPr>
          <w:noProof/>
          <w:sz w:val="24"/>
          <w:szCs w:val="24"/>
          <w:lang w:eastAsia="en-AU"/>
        </w:rPr>
      </w:pPr>
    </w:p>
    <w:p w14:paraId="722D40AE" w14:textId="77777777" w:rsidR="00FC08D5" w:rsidRDefault="00FC08D5" w:rsidP="00FC08D5">
      <w:pPr>
        <w:pStyle w:val="ARHeading3"/>
        <w:rPr>
          <w:b w:val="0"/>
          <w:noProof/>
          <w:sz w:val="24"/>
          <w:szCs w:val="24"/>
          <w:lang w:eastAsia="en-AU"/>
        </w:rPr>
      </w:pPr>
      <w:r w:rsidRPr="00FC08D5">
        <w:rPr>
          <w:noProof/>
          <w:sz w:val="24"/>
          <w:szCs w:val="24"/>
          <w:lang w:eastAsia="en-AU"/>
        </w:rPr>
        <w:lastRenderedPageBreak/>
        <w:t>Comment:</w:t>
      </w:r>
      <w:r>
        <w:rPr>
          <w:noProof/>
          <w:sz w:val="24"/>
          <w:szCs w:val="24"/>
          <w:lang w:eastAsia="en-AU"/>
        </w:rPr>
        <w:t xml:space="preserve"> </w:t>
      </w:r>
      <w:r w:rsidRPr="00FC08D5">
        <w:rPr>
          <w:b w:val="0"/>
          <w:noProof/>
          <w:sz w:val="24"/>
          <w:szCs w:val="24"/>
          <w:lang w:eastAsia="en-AU"/>
        </w:rPr>
        <w:t>The result is better than target, driven by lower than forecast claims administration costs (5.5%) and higher than forecast number of claims administered (3.6%) arising from lower than expected claims finalisations.</w:t>
      </w:r>
      <w:r w:rsidRPr="00FC08D5">
        <w:rPr>
          <w:b w:val="0"/>
          <w:noProof/>
          <w:sz w:val="24"/>
          <w:szCs w:val="24"/>
          <w:lang w:eastAsia="en-AU"/>
        </w:rPr>
        <w:tab/>
      </w:r>
    </w:p>
    <w:p w14:paraId="0F5004A4" w14:textId="77777777" w:rsidR="00FC08D5" w:rsidRDefault="00FC08D5" w:rsidP="00FC08D5">
      <w:pPr>
        <w:pStyle w:val="ARHeading3"/>
        <w:rPr>
          <w:b w:val="0"/>
          <w:noProof/>
          <w:sz w:val="24"/>
          <w:szCs w:val="24"/>
          <w:lang w:eastAsia="en-AU"/>
        </w:rPr>
      </w:pPr>
    </w:p>
    <w:p w14:paraId="0BCECFF6" w14:textId="000F3B73" w:rsidR="00FC08D5" w:rsidRDefault="00FC08D5" w:rsidP="00FC08D5">
      <w:pPr>
        <w:pStyle w:val="ARHeading3"/>
        <w:rPr>
          <w:noProof/>
          <w:sz w:val="24"/>
          <w:szCs w:val="24"/>
          <w:lang w:eastAsia="en-AU"/>
        </w:rPr>
      </w:pPr>
      <w:r>
        <w:rPr>
          <w:noProof/>
          <w:sz w:val="24"/>
          <w:szCs w:val="24"/>
          <w:lang w:eastAsia="en-AU"/>
        </w:rPr>
        <w:t>Claims Administration Costs as a Ratio of Gross Claims Paid (%) – MII</w:t>
      </w:r>
    </w:p>
    <w:p w14:paraId="4BECEF4E" w14:textId="5BA56664" w:rsidR="00FC08D5" w:rsidRPr="00FC08D5" w:rsidRDefault="00FC08D5" w:rsidP="00FC08D5">
      <w:pPr>
        <w:jc w:val="left"/>
        <w:rPr>
          <w:rFonts w:ascii="Arial" w:hAnsi="Arial" w:cs="Arial"/>
          <w:sz w:val="16"/>
          <w:szCs w:val="16"/>
          <w:lang w:eastAsia="en-AU"/>
        </w:rPr>
      </w:pPr>
      <w:r w:rsidRPr="00FC08D5">
        <w:rPr>
          <w:noProof/>
          <w:szCs w:val="24"/>
          <w:lang w:eastAsia="en-AU"/>
        </w:rPr>
        <w:t xml:space="preserve">This KPI calculates claims administration costs as a percentage of the gross claims paid. This KPI measures the efficiency of claims administration.  </w:t>
      </w:r>
      <w:r w:rsidRPr="00FC08D5">
        <w:rPr>
          <w:noProof/>
          <w:szCs w:val="24"/>
          <w:lang w:eastAsia="en-AU"/>
        </w:rPr>
        <w:tab/>
      </w:r>
      <w:r w:rsidRPr="00FC08D5">
        <w:rPr>
          <w:noProof/>
          <w:szCs w:val="24"/>
          <w:lang w:eastAsia="en-AU"/>
        </w:rPr>
        <w:tab/>
      </w:r>
      <w:r w:rsidRPr="00FC08D5">
        <w:rPr>
          <w:noProof/>
          <w:szCs w:val="24"/>
          <w:lang w:eastAsia="en-AU"/>
        </w:rPr>
        <w:tab/>
      </w:r>
      <w:r>
        <w:rPr>
          <w:noProof/>
          <w:lang w:eastAsia="en-AU"/>
        </w:rPr>
        <w:drawing>
          <wp:inline distT="0" distB="0" distL="0" distR="0" wp14:anchorId="0B249D27" wp14:editId="110FCB59">
            <wp:extent cx="5731510" cy="307022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C08D5">
        <w:rPr>
          <w:rFonts w:ascii="Arial" w:hAnsi="Arial" w:cs="Arial"/>
          <w:sz w:val="16"/>
          <w:szCs w:val="16"/>
        </w:rPr>
        <w:t xml:space="preserve"> </w:t>
      </w:r>
      <w:r w:rsidRPr="00FC08D5">
        <w:rPr>
          <w:rFonts w:ascii="Arial" w:hAnsi="Arial" w:cs="Arial"/>
          <w:sz w:val="16"/>
          <w:szCs w:val="16"/>
          <w:lang w:eastAsia="en-AU"/>
        </w:rPr>
        <w:t>*Prior 2017 year results include TPIF only</w:t>
      </w:r>
    </w:p>
    <w:p w14:paraId="7355E91C" w14:textId="77777777" w:rsidR="00FC08D5" w:rsidRDefault="00FC08D5" w:rsidP="00FC08D5">
      <w:pPr>
        <w:pStyle w:val="ARHeading3"/>
        <w:rPr>
          <w:b w:val="0"/>
          <w:noProof/>
          <w:sz w:val="24"/>
          <w:szCs w:val="24"/>
          <w:lang w:eastAsia="en-AU"/>
        </w:rPr>
      </w:pPr>
    </w:p>
    <w:p w14:paraId="771821AF" w14:textId="3B506645" w:rsidR="00FC08D5" w:rsidRPr="00477061" w:rsidRDefault="00FC08D5" w:rsidP="00FC08D5">
      <w:pPr>
        <w:pStyle w:val="ARHeading3"/>
        <w:rPr>
          <w:b w:val="0"/>
          <w:noProof/>
          <w:sz w:val="24"/>
          <w:szCs w:val="24"/>
          <w:lang w:eastAsia="en-AU"/>
        </w:rPr>
      </w:pPr>
      <w:r w:rsidRPr="00FC08D5">
        <w:rPr>
          <w:noProof/>
          <w:sz w:val="24"/>
          <w:szCs w:val="24"/>
          <w:lang w:eastAsia="en-AU"/>
        </w:rPr>
        <w:t>Comment:</w:t>
      </w:r>
      <w:r>
        <w:rPr>
          <w:b w:val="0"/>
          <w:noProof/>
          <w:sz w:val="24"/>
          <w:szCs w:val="24"/>
          <w:lang w:eastAsia="en-AU"/>
        </w:rPr>
        <w:t xml:space="preserve"> </w:t>
      </w:r>
      <w:r w:rsidRPr="00FC08D5">
        <w:rPr>
          <w:b w:val="0"/>
          <w:noProof/>
          <w:sz w:val="24"/>
          <w:szCs w:val="24"/>
          <w:lang w:eastAsia="en-AU"/>
        </w:rPr>
        <w:t>The result is worse than target. While claims administration costs were 5.5% lower than budget, claims payments were 12.8% lower than forecast as a result of a number of claims on which in-principle settlement has been agreed but require Court approval and have not yet been paid.</w:t>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r w:rsidRPr="00FC08D5">
        <w:rPr>
          <w:b w:val="0"/>
          <w:noProof/>
          <w:sz w:val="24"/>
          <w:szCs w:val="24"/>
          <w:lang w:eastAsia="en-AU"/>
        </w:rPr>
        <w:tab/>
      </w:r>
    </w:p>
    <w:p w14:paraId="16704341" w14:textId="77777777" w:rsidR="00FC08D5" w:rsidRDefault="00477061" w:rsidP="00477061">
      <w:pPr>
        <w:pStyle w:val="ARHeading3"/>
        <w:rPr>
          <w:b w:val="0"/>
          <w:noProof/>
          <w:sz w:val="24"/>
          <w:szCs w:val="24"/>
          <w:lang w:eastAsia="en-AU"/>
        </w:rPr>
      </w:pPr>
      <w:r w:rsidRPr="00477061">
        <w:rPr>
          <w:b w:val="0"/>
          <w:noProof/>
          <w:sz w:val="24"/>
          <w:szCs w:val="24"/>
          <w:lang w:eastAsia="en-AU"/>
        </w:rPr>
        <w:tab/>
      </w:r>
    </w:p>
    <w:p w14:paraId="457336B0" w14:textId="77777777" w:rsidR="00FC08D5" w:rsidRDefault="00FC08D5" w:rsidP="00477061">
      <w:pPr>
        <w:pStyle w:val="ARHeading3"/>
        <w:rPr>
          <w:b w:val="0"/>
          <w:noProof/>
          <w:sz w:val="24"/>
          <w:szCs w:val="24"/>
          <w:lang w:eastAsia="en-AU"/>
        </w:rPr>
      </w:pPr>
    </w:p>
    <w:p w14:paraId="7005E1F7" w14:textId="77777777" w:rsidR="00FC08D5" w:rsidRDefault="00FC08D5" w:rsidP="00477061">
      <w:pPr>
        <w:pStyle w:val="ARHeading3"/>
        <w:rPr>
          <w:b w:val="0"/>
          <w:noProof/>
          <w:sz w:val="24"/>
          <w:szCs w:val="24"/>
          <w:lang w:eastAsia="en-AU"/>
        </w:rPr>
      </w:pPr>
    </w:p>
    <w:p w14:paraId="2CBAAD61" w14:textId="77777777" w:rsidR="00FC08D5" w:rsidRDefault="00FC08D5" w:rsidP="00477061">
      <w:pPr>
        <w:pStyle w:val="ARHeading3"/>
        <w:rPr>
          <w:b w:val="0"/>
          <w:noProof/>
          <w:sz w:val="24"/>
          <w:szCs w:val="24"/>
          <w:lang w:eastAsia="en-AU"/>
        </w:rPr>
      </w:pPr>
    </w:p>
    <w:p w14:paraId="109A2467" w14:textId="77777777" w:rsidR="00FC08D5" w:rsidRDefault="00FC08D5" w:rsidP="00477061">
      <w:pPr>
        <w:pStyle w:val="ARHeading3"/>
        <w:rPr>
          <w:b w:val="0"/>
          <w:noProof/>
          <w:sz w:val="24"/>
          <w:szCs w:val="24"/>
          <w:lang w:eastAsia="en-AU"/>
        </w:rPr>
      </w:pPr>
    </w:p>
    <w:p w14:paraId="047345CF" w14:textId="77777777" w:rsidR="00FC08D5" w:rsidRDefault="00FC08D5" w:rsidP="00477061">
      <w:pPr>
        <w:pStyle w:val="ARHeading3"/>
        <w:rPr>
          <w:b w:val="0"/>
          <w:noProof/>
          <w:sz w:val="24"/>
          <w:szCs w:val="24"/>
          <w:lang w:eastAsia="en-AU"/>
        </w:rPr>
      </w:pPr>
    </w:p>
    <w:p w14:paraId="5549C720" w14:textId="77777777" w:rsidR="00FC08D5" w:rsidRDefault="00FC08D5" w:rsidP="00477061">
      <w:pPr>
        <w:pStyle w:val="ARHeading3"/>
        <w:rPr>
          <w:b w:val="0"/>
          <w:noProof/>
          <w:sz w:val="24"/>
          <w:szCs w:val="24"/>
          <w:lang w:eastAsia="en-AU"/>
        </w:rPr>
      </w:pPr>
    </w:p>
    <w:p w14:paraId="0A6907EC" w14:textId="77777777" w:rsidR="00FC08D5" w:rsidRDefault="00FC08D5" w:rsidP="00477061">
      <w:pPr>
        <w:pStyle w:val="ARHeading3"/>
        <w:rPr>
          <w:b w:val="0"/>
          <w:noProof/>
          <w:sz w:val="24"/>
          <w:szCs w:val="24"/>
          <w:lang w:eastAsia="en-AU"/>
        </w:rPr>
      </w:pPr>
    </w:p>
    <w:p w14:paraId="7A618E6C" w14:textId="77777777" w:rsidR="00FC08D5" w:rsidRDefault="00FC08D5" w:rsidP="00477061">
      <w:pPr>
        <w:pStyle w:val="ARHeading3"/>
        <w:rPr>
          <w:b w:val="0"/>
          <w:noProof/>
          <w:sz w:val="24"/>
          <w:szCs w:val="24"/>
          <w:lang w:eastAsia="en-AU"/>
        </w:rPr>
      </w:pPr>
    </w:p>
    <w:p w14:paraId="0BA1AD17" w14:textId="77777777" w:rsidR="00FC08D5" w:rsidRDefault="00FC08D5" w:rsidP="00477061">
      <w:pPr>
        <w:pStyle w:val="ARHeading3"/>
        <w:rPr>
          <w:b w:val="0"/>
          <w:noProof/>
          <w:sz w:val="24"/>
          <w:szCs w:val="24"/>
          <w:lang w:eastAsia="en-AU"/>
        </w:rPr>
      </w:pPr>
    </w:p>
    <w:p w14:paraId="5479F58A" w14:textId="77777777" w:rsidR="00FC08D5" w:rsidRDefault="00FC08D5" w:rsidP="00477061">
      <w:pPr>
        <w:pStyle w:val="ARHeading3"/>
        <w:rPr>
          <w:b w:val="0"/>
          <w:noProof/>
          <w:sz w:val="24"/>
          <w:szCs w:val="24"/>
          <w:lang w:eastAsia="en-AU"/>
        </w:rPr>
      </w:pPr>
    </w:p>
    <w:p w14:paraId="65CD9316" w14:textId="77777777" w:rsidR="00FC08D5" w:rsidRDefault="00FC08D5" w:rsidP="00477061">
      <w:pPr>
        <w:pStyle w:val="ARHeading3"/>
        <w:rPr>
          <w:b w:val="0"/>
          <w:noProof/>
          <w:sz w:val="24"/>
          <w:szCs w:val="24"/>
          <w:lang w:eastAsia="en-AU"/>
        </w:rPr>
      </w:pPr>
    </w:p>
    <w:p w14:paraId="1A9098AC" w14:textId="77777777" w:rsidR="00FC08D5" w:rsidRDefault="00FC08D5" w:rsidP="00477061">
      <w:pPr>
        <w:pStyle w:val="ARHeading3"/>
        <w:rPr>
          <w:b w:val="0"/>
          <w:noProof/>
          <w:sz w:val="24"/>
          <w:szCs w:val="24"/>
          <w:lang w:eastAsia="en-AU"/>
        </w:rPr>
      </w:pPr>
    </w:p>
    <w:p w14:paraId="383DC49E" w14:textId="77777777" w:rsidR="00FC08D5" w:rsidRDefault="00FC08D5" w:rsidP="00477061">
      <w:pPr>
        <w:pStyle w:val="ARHeading3"/>
        <w:rPr>
          <w:b w:val="0"/>
          <w:noProof/>
          <w:sz w:val="24"/>
          <w:szCs w:val="24"/>
          <w:lang w:eastAsia="en-AU"/>
        </w:rPr>
      </w:pPr>
    </w:p>
    <w:p w14:paraId="34ACBBD7" w14:textId="77777777" w:rsidR="00FC08D5" w:rsidRDefault="00FC08D5" w:rsidP="00477061">
      <w:pPr>
        <w:pStyle w:val="ARHeading3"/>
        <w:rPr>
          <w:b w:val="0"/>
          <w:noProof/>
          <w:sz w:val="24"/>
          <w:szCs w:val="24"/>
          <w:lang w:eastAsia="en-AU"/>
        </w:rPr>
      </w:pPr>
    </w:p>
    <w:p w14:paraId="61AEE3CC" w14:textId="77777777" w:rsidR="00FC08D5" w:rsidRDefault="00FC08D5" w:rsidP="00477061">
      <w:pPr>
        <w:pStyle w:val="ARHeading3"/>
        <w:rPr>
          <w:b w:val="0"/>
          <w:noProof/>
          <w:sz w:val="24"/>
          <w:szCs w:val="24"/>
          <w:lang w:eastAsia="en-AU"/>
        </w:rPr>
      </w:pPr>
    </w:p>
    <w:p w14:paraId="54F9FB26" w14:textId="6BD0D473" w:rsidR="00477061" w:rsidRPr="00FC08D5" w:rsidRDefault="00477061" w:rsidP="00477061">
      <w:pPr>
        <w:pStyle w:val="ARHeading3"/>
        <w:rPr>
          <w:noProof/>
          <w:sz w:val="24"/>
          <w:szCs w:val="24"/>
          <w:lang w:eastAsia="en-AU"/>
        </w:rPr>
      </w:pP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r w:rsidRPr="00477061">
        <w:rPr>
          <w:b w:val="0"/>
          <w:noProof/>
          <w:sz w:val="24"/>
          <w:szCs w:val="24"/>
          <w:lang w:eastAsia="en-AU"/>
        </w:rPr>
        <w:tab/>
      </w:r>
    </w:p>
    <w:p w14:paraId="53DDCAA2" w14:textId="77777777" w:rsidR="00802E99" w:rsidRPr="00CF644F" w:rsidRDefault="00802E99" w:rsidP="00802E99">
      <w:pPr>
        <w:pStyle w:val="ARHeading2"/>
        <w:rPr>
          <w:i/>
        </w:rPr>
      </w:pPr>
      <w:bookmarkStart w:id="58" w:name="_Toc524709390"/>
      <w:bookmarkStart w:id="59" w:name="_Toc390680582"/>
      <w:bookmarkStart w:id="60" w:name="_Toc458802739"/>
      <w:r w:rsidRPr="00CF644F">
        <w:lastRenderedPageBreak/>
        <w:t>3.3</w:t>
      </w:r>
      <w:r w:rsidRPr="00CF644F">
        <w:tab/>
        <w:t>RiskCover</w:t>
      </w:r>
      <w:bookmarkEnd w:id="58"/>
      <w:r w:rsidRPr="00CF644F">
        <w:t xml:space="preserve"> </w:t>
      </w:r>
      <w:bookmarkEnd w:id="59"/>
      <w:bookmarkEnd w:id="60"/>
      <w:r w:rsidRPr="00CF644F">
        <w:t xml:space="preserve">  </w:t>
      </w:r>
    </w:p>
    <w:p w14:paraId="7EB38B61" w14:textId="77777777" w:rsidR="00802E99" w:rsidRPr="00CF644F" w:rsidRDefault="00802E99" w:rsidP="00802E99">
      <w:pPr>
        <w:rPr>
          <w:rFonts w:ascii="Arial" w:hAnsi="Arial" w:cs="Arial"/>
          <w:color w:val="000000"/>
          <w:szCs w:val="24"/>
        </w:rPr>
      </w:pPr>
    </w:p>
    <w:p w14:paraId="48F702F8" w14:textId="77777777" w:rsidR="00802E99" w:rsidRPr="00CF644F" w:rsidRDefault="00802E99" w:rsidP="00802E99">
      <w:pPr>
        <w:rPr>
          <w:rFonts w:ascii="Arial" w:hAnsi="Arial" w:cs="Arial"/>
          <w:color w:val="000000"/>
          <w:szCs w:val="24"/>
        </w:rPr>
      </w:pPr>
      <w:r w:rsidRPr="00CF644F">
        <w:rPr>
          <w:rFonts w:ascii="Arial" w:hAnsi="Arial" w:cs="Arial"/>
          <w:color w:val="000000"/>
          <w:szCs w:val="24"/>
        </w:rPr>
        <w:t xml:space="preserve">Total </w:t>
      </w:r>
      <w:r>
        <w:rPr>
          <w:rFonts w:ascii="Arial" w:hAnsi="Arial" w:cs="Arial"/>
          <w:color w:val="000000"/>
          <w:szCs w:val="24"/>
        </w:rPr>
        <w:t xml:space="preserve">New Claims </w:t>
      </w:r>
      <w:r w:rsidRPr="00CF644F">
        <w:rPr>
          <w:rFonts w:ascii="Arial" w:hAnsi="Arial" w:cs="Arial"/>
          <w:color w:val="000000"/>
          <w:szCs w:val="24"/>
        </w:rPr>
        <w:t xml:space="preserve">– </w:t>
      </w:r>
      <w:r>
        <w:rPr>
          <w:rFonts w:ascii="Arial" w:hAnsi="Arial" w:cs="Arial"/>
          <w:color w:val="000000"/>
          <w:szCs w:val="24"/>
        </w:rPr>
        <w:t>20,473</w:t>
      </w:r>
    </w:p>
    <w:p w14:paraId="4739D250" w14:textId="77777777" w:rsidR="00802E99" w:rsidRPr="00CF644F" w:rsidRDefault="00802E99" w:rsidP="00802E99">
      <w:pPr>
        <w:rPr>
          <w:rFonts w:ascii="Arial" w:hAnsi="Arial" w:cs="Arial"/>
          <w:color w:val="000000"/>
          <w:szCs w:val="24"/>
        </w:rPr>
      </w:pPr>
      <w:r w:rsidRPr="00CF644F">
        <w:rPr>
          <w:rFonts w:ascii="Arial" w:hAnsi="Arial" w:cs="Arial"/>
          <w:color w:val="000000"/>
          <w:szCs w:val="24"/>
        </w:rPr>
        <w:t>Total Claims Paid – $</w:t>
      </w:r>
      <w:r>
        <w:rPr>
          <w:rFonts w:ascii="Arial" w:hAnsi="Arial" w:cs="Arial"/>
          <w:color w:val="000000"/>
          <w:szCs w:val="24"/>
        </w:rPr>
        <w:t xml:space="preserve">223.4 </w:t>
      </w:r>
      <w:r w:rsidRPr="00CF644F">
        <w:rPr>
          <w:rFonts w:ascii="Arial" w:hAnsi="Arial" w:cs="Arial"/>
          <w:color w:val="000000"/>
          <w:szCs w:val="24"/>
        </w:rPr>
        <w:t>million</w:t>
      </w:r>
    </w:p>
    <w:p w14:paraId="10462853" w14:textId="77777777" w:rsidR="00802E99" w:rsidRPr="00CF644F" w:rsidRDefault="00802E99" w:rsidP="00802E99">
      <w:pPr>
        <w:rPr>
          <w:rFonts w:ascii="Arial" w:hAnsi="Arial" w:cs="Arial"/>
          <w:color w:val="000000"/>
          <w:szCs w:val="24"/>
        </w:rPr>
      </w:pPr>
      <w:r w:rsidRPr="00CF644F">
        <w:rPr>
          <w:rFonts w:ascii="Arial" w:hAnsi="Arial" w:cs="Arial"/>
          <w:color w:val="000000"/>
          <w:szCs w:val="24"/>
        </w:rPr>
        <w:t xml:space="preserve">Underwriting </w:t>
      </w:r>
      <w:r>
        <w:rPr>
          <w:rFonts w:ascii="Arial" w:hAnsi="Arial" w:cs="Arial"/>
          <w:color w:val="000000"/>
          <w:szCs w:val="24"/>
        </w:rPr>
        <w:t>Result</w:t>
      </w:r>
      <w:r w:rsidRPr="00CF644F">
        <w:rPr>
          <w:rFonts w:ascii="Arial" w:hAnsi="Arial" w:cs="Arial"/>
          <w:color w:val="000000"/>
          <w:szCs w:val="24"/>
        </w:rPr>
        <w:t xml:space="preserve"> – $</w:t>
      </w:r>
      <w:r>
        <w:rPr>
          <w:rFonts w:ascii="Arial" w:hAnsi="Arial" w:cs="Arial"/>
          <w:color w:val="000000"/>
          <w:szCs w:val="24"/>
        </w:rPr>
        <w:t>63.5</w:t>
      </w:r>
      <w:r w:rsidRPr="00CF644F">
        <w:rPr>
          <w:rFonts w:ascii="Arial" w:hAnsi="Arial" w:cs="Arial"/>
          <w:color w:val="000000"/>
          <w:szCs w:val="24"/>
        </w:rPr>
        <w:t xml:space="preserve"> million</w:t>
      </w:r>
    </w:p>
    <w:p w14:paraId="6E85A2C9" w14:textId="77777777" w:rsidR="00802E99" w:rsidRDefault="00802E99" w:rsidP="00802E99">
      <w:pPr>
        <w:rPr>
          <w:rFonts w:ascii="Arial" w:hAnsi="Arial" w:cs="Arial"/>
          <w:color w:val="000000"/>
          <w:szCs w:val="24"/>
        </w:rPr>
      </w:pPr>
      <w:r w:rsidRPr="00CF644F">
        <w:rPr>
          <w:rFonts w:ascii="Arial" w:hAnsi="Arial" w:cs="Arial"/>
          <w:color w:val="000000"/>
          <w:szCs w:val="24"/>
        </w:rPr>
        <w:t>Workers’ compensation benefit</w:t>
      </w:r>
      <w:r>
        <w:rPr>
          <w:rFonts w:ascii="Arial" w:hAnsi="Arial" w:cs="Arial"/>
          <w:color w:val="000000"/>
          <w:szCs w:val="24"/>
        </w:rPr>
        <w:t xml:space="preserve"> paid directly to</w:t>
      </w:r>
      <w:r w:rsidRPr="00CF644F">
        <w:rPr>
          <w:rFonts w:ascii="Arial" w:hAnsi="Arial" w:cs="Arial"/>
          <w:color w:val="000000"/>
          <w:szCs w:val="24"/>
        </w:rPr>
        <w:t xml:space="preserve"> claimant – </w:t>
      </w:r>
      <w:r>
        <w:rPr>
          <w:rFonts w:ascii="Arial" w:hAnsi="Arial" w:cs="Arial"/>
          <w:color w:val="000000"/>
          <w:szCs w:val="24"/>
        </w:rPr>
        <w:t>91.3%</w:t>
      </w:r>
    </w:p>
    <w:p w14:paraId="17C2E06C" w14:textId="77777777" w:rsidR="00802E99" w:rsidRPr="00CF644F" w:rsidRDefault="00802E99" w:rsidP="00802E99">
      <w:pPr>
        <w:rPr>
          <w:rFonts w:ascii="Arial" w:hAnsi="Arial" w:cs="Arial"/>
          <w:color w:val="000000"/>
          <w:szCs w:val="24"/>
        </w:rPr>
      </w:pPr>
    </w:p>
    <w:p w14:paraId="2A285C30" w14:textId="77777777" w:rsidR="00802E99" w:rsidRDefault="00802E99" w:rsidP="00802E99">
      <w:pPr>
        <w:rPr>
          <w:rFonts w:ascii="Arial" w:hAnsi="Arial" w:cs="Arial"/>
          <w:color w:val="000000"/>
          <w:szCs w:val="24"/>
        </w:rPr>
      </w:pPr>
      <w:r w:rsidRPr="00763771">
        <w:rPr>
          <w:rFonts w:ascii="Arial" w:hAnsi="Arial" w:cs="Arial"/>
          <w:color w:val="000000"/>
          <w:szCs w:val="24"/>
        </w:rPr>
        <w:t xml:space="preserve">Positive </w:t>
      </w:r>
      <w:r>
        <w:rPr>
          <w:rFonts w:ascii="Arial" w:hAnsi="Arial" w:cs="Arial"/>
          <w:color w:val="000000"/>
          <w:szCs w:val="24"/>
        </w:rPr>
        <w:t xml:space="preserve">underwriting and </w:t>
      </w:r>
      <w:r w:rsidRPr="00763771">
        <w:rPr>
          <w:rFonts w:ascii="Arial" w:hAnsi="Arial" w:cs="Arial"/>
          <w:color w:val="000000"/>
          <w:szCs w:val="24"/>
        </w:rPr>
        <w:t xml:space="preserve">investment results during 2018 drove the RiskCover Fund to a strong profit of $159.2 million in 2018, </w:t>
      </w:r>
      <w:r>
        <w:rPr>
          <w:rFonts w:ascii="Arial" w:hAnsi="Arial" w:cs="Arial"/>
          <w:color w:val="000000"/>
          <w:szCs w:val="24"/>
        </w:rPr>
        <w:t>above</w:t>
      </w:r>
      <w:r w:rsidRPr="00763771">
        <w:rPr>
          <w:rFonts w:ascii="Arial" w:hAnsi="Arial" w:cs="Arial"/>
          <w:color w:val="000000"/>
          <w:szCs w:val="24"/>
        </w:rPr>
        <w:t xml:space="preserve"> its 2017 profit of $154.3 million.</w:t>
      </w:r>
    </w:p>
    <w:p w14:paraId="696565D1" w14:textId="77777777" w:rsidR="00802E99" w:rsidRDefault="00802E99" w:rsidP="00802E99">
      <w:pPr>
        <w:rPr>
          <w:rFonts w:ascii="Arial" w:hAnsi="Arial" w:cs="Arial"/>
          <w:color w:val="000000"/>
          <w:szCs w:val="24"/>
        </w:rPr>
      </w:pPr>
    </w:p>
    <w:p w14:paraId="71FFEE98" w14:textId="77777777" w:rsidR="00802E99" w:rsidRDefault="00802E99" w:rsidP="00802E99">
      <w:pPr>
        <w:rPr>
          <w:rFonts w:ascii="Arial" w:hAnsi="Arial" w:cs="Arial"/>
          <w:color w:val="000000"/>
          <w:szCs w:val="24"/>
        </w:rPr>
      </w:pPr>
      <w:r>
        <w:rPr>
          <w:rFonts w:ascii="Arial" w:hAnsi="Arial" w:cs="Arial"/>
          <w:color w:val="000000"/>
          <w:szCs w:val="24"/>
        </w:rPr>
        <w:t xml:space="preserve">The underwriting result for the RiskCover Fund was $63.5 million. This result further improved on the underwriting result of </w:t>
      </w:r>
      <w:r w:rsidRPr="00CF644F">
        <w:rPr>
          <w:rFonts w:ascii="Arial" w:hAnsi="Arial" w:cs="Arial"/>
          <w:color w:val="000000"/>
          <w:szCs w:val="24"/>
        </w:rPr>
        <w:t>$</w:t>
      </w:r>
      <w:r>
        <w:rPr>
          <w:rFonts w:ascii="Arial" w:hAnsi="Arial" w:cs="Arial"/>
          <w:color w:val="000000"/>
          <w:szCs w:val="24"/>
        </w:rPr>
        <w:t>52.5</w:t>
      </w:r>
      <w:r w:rsidRPr="00CF644F">
        <w:rPr>
          <w:rFonts w:ascii="Arial" w:hAnsi="Arial" w:cs="Arial"/>
          <w:color w:val="000000"/>
          <w:szCs w:val="24"/>
        </w:rPr>
        <w:t xml:space="preserve"> million </w:t>
      </w:r>
      <w:r>
        <w:rPr>
          <w:rFonts w:ascii="Arial" w:hAnsi="Arial" w:cs="Arial"/>
          <w:color w:val="000000"/>
          <w:szCs w:val="24"/>
        </w:rPr>
        <w:t xml:space="preserve">delivered in </w:t>
      </w:r>
      <w:r w:rsidRPr="00CF644F">
        <w:rPr>
          <w:rFonts w:ascii="Arial" w:hAnsi="Arial" w:cs="Arial"/>
          <w:color w:val="000000"/>
          <w:szCs w:val="24"/>
        </w:rPr>
        <w:t>201</w:t>
      </w:r>
      <w:r>
        <w:rPr>
          <w:rFonts w:ascii="Arial" w:hAnsi="Arial" w:cs="Arial"/>
          <w:color w:val="000000"/>
          <w:szCs w:val="24"/>
        </w:rPr>
        <w:t>7</w:t>
      </w:r>
      <w:r w:rsidRPr="00CF644F">
        <w:rPr>
          <w:rFonts w:ascii="Arial" w:hAnsi="Arial" w:cs="Arial"/>
          <w:color w:val="000000"/>
          <w:szCs w:val="24"/>
        </w:rPr>
        <w:t>.</w:t>
      </w:r>
    </w:p>
    <w:p w14:paraId="02713E19" w14:textId="77777777" w:rsidR="00802E99" w:rsidRDefault="00802E99" w:rsidP="00802E99">
      <w:pPr>
        <w:rPr>
          <w:rFonts w:ascii="Arial" w:hAnsi="Arial" w:cs="Arial"/>
          <w:color w:val="000000"/>
          <w:szCs w:val="24"/>
        </w:rPr>
      </w:pPr>
    </w:p>
    <w:p w14:paraId="4D6808BE" w14:textId="77777777" w:rsidR="00802E99" w:rsidRDefault="00802E99" w:rsidP="00802E99">
      <w:pPr>
        <w:rPr>
          <w:rFonts w:ascii="Arial" w:hAnsi="Arial" w:cs="Arial"/>
          <w:color w:val="000000"/>
          <w:szCs w:val="24"/>
        </w:rPr>
      </w:pPr>
      <w:r>
        <w:rPr>
          <w:rFonts w:ascii="Arial" w:hAnsi="Arial" w:cs="Arial"/>
          <w:color w:val="000000"/>
          <w:szCs w:val="24"/>
        </w:rPr>
        <w:t xml:space="preserve">Stronger than anticipated investment market conditions delivered a </w:t>
      </w:r>
      <w:r w:rsidRPr="00CF644F">
        <w:rPr>
          <w:rFonts w:ascii="Arial" w:hAnsi="Arial" w:cs="Arial"/>
          <w:color w:val="000000"/>
          <w:szCs w:val="24"/>
        </w:rPr>
        <w:t>$</w:t>
      </w:r>
      <w:r>
        <w:rPr>
          <w:rFonts w:ascii="Arial" w:hAnsi="Arial" w:cs="Arial"/>
          <w:color w:val="000000"/>
          <w:szCs w:val="24"/>
        </w:rPr>
        <w:t>95.7</w:t>
      </w:r>
      <w:r w:rsidRPr="00CF644F">
        <w:rPr>
          <w:rFonts w:ascii="Arial" w:hAnsi="Arial" w:cs="Arial"/>
          <w:color w:val="000000"/>
          <w:szCs w:val="24"/>
        </w:rPr>
        <w:t xml:space="preserve"> million</w:t>
      </w:r>
      <w:r>
        <w:rPr>
          <w:rFonts w:ascii="Arial" w:hAnsi="Arial" w:cs="Arial"/>
          <w:color w:val="000000"/>
          <w:szCs w:val="24"/>
        </w:rPr>
        <w:t xml:space="preserve"> investment return for RiskCover, which was </w:t>
      </w:r>
      <w:r w:rsidRPr="00CF644F">
        <w:rPr>
          <w:rFonts w:ascii="Arial" w:hAnsi="Arial" w:cs="Arial"/>
          <w:color w:val="000000"/>
          <w:szCs w:val="24"/>
        </w:rPr>
        <w:t>$</w:t>
      </w:r>
      <w:r>
        <w:rPr>
          <w:rFonts w:ascii="Arial" w:hAnsi="Arial" w:cs="Arial"/>
          <w:color w:val="000000"/>
          <w:szCs w:val="24"/>
        </w:rPr>
        <w:t xml:space="preserve">31.5 </w:t>
      </w:r>
      <w:r w:rsidRPr="00CF644F">
        <w:rPr>
          <w:rFonts w:ascii="Arial" w:hAnsi="Arial" w:cs="Arial"/>
          <w:color w:val="000000"/>
          <w:szCs w:val="24"/>
        </w:rPr>
        <w:t xml:space="preserve">million greater than </w:t>
      </w:r>
      <w:r>
        <w:rPr>
          <w:rFonts w:ascii="Arial" w:hAnsi="Arial" w:cs="Arial"/>
          <w:color w:val="000000"/>
          <w:szCs w:val="24"/>
        </w:rPr>
        <w:t>forecast.</w:t>
      </w:r>
    </w:p>
    <w:p w14:paraId="2B243BB1" w14:textId="77777777" w:rsidR="00802E99" w:rsidRDefault="00802E99" w:rsidP="00802E99">
      <w:pPr>
        <w:rPr>
          <w:rFonts w:ascii="Arial" w:hAnsi="Arial" w:cs="Arial"/>
          <w:color w:val="000000"/>
          <w:szCs w:val="24"/>
        </w:rPr>
      </w:pPr>
    </w:p>
    <w:p w14:paraId="2812B78A" w14:textId="77777777" w:rsidR="00802E99" w:rsidRDefault="00802E99" w:rsidP="00802E99">
      <w:pPr>
        <w:rPr>
          <w:rFonts w:ascii="Arial" w:hAnsi="Arial" w:cs="Arial"/>
          <w:color w:val="000000"/>
          <w:szCs w:val="24"/>
        </w:rPr>
      </w:pPr>
      <w:r>
        <w:rPr>
          <w:rFonts w:ascii="Arial" w:hAnsi="Arial" w:cs="Arial"/>
          <w:color w:val="000000"/>
          <w:szCs w:val="24"/>
        </w:rPr>
        <w:t xml:space="preserve">This was the fourth consecutive year that RiskCover has delivered a positive underwriting result. </w:t>
      </w:r>
      <w:r w:rsidRPr="003D2789">
        <w:rPr>
          <w:rFonts w:ascii="Arial" w:hAnsi="Arial" w:cs="Arial"/>
          <w:color w:val="000000"/>
          <w:szCs w:val="24"/>
        </w:rPr>
        <w:t>Underwriting and administration expenses have consistently reduced over the past five financial years, led by releases in the outstanding claims provision.</w:t>
      </w:r>
      <w:r>
        <w:rPr>
          <w:rFonts w:ascii="Arial" w:hAnsi="Arial" w:cs="Arial"/>
          <w:color w:val="000000"/>
          <w:szCs w:val="24"/>
        </w:rPr>
        <w:t xml:space="preserve"> This demonstrates that line of the Insurance Commission’s business is being managed sustainably as it is not reliant on investment returns to fund service delivery and claims costs. </w:t>
      </w:r>
    </w:p>
    <w:p w14:paraId="7117F27C" w14:textId="77777777" w:rsidR="00802E99" w:rsidRDefault="00802E99" w:rsidP="00802E99">
      <w:pPr>
        <w:rPr>
          <w:rFonts w:ascii="Arial" w:hAnsi="Arial" w:cs="Arial"/>
          <w:color w:val="000000"/>
          <w:szCs w:val="24"/>
        </w:rPr>
      </w:pPr>
    </w:p>
    <w:p w14:paraId="3EBE7895" w14:textId="77777777" w:rsidR="00802E99" w:rsidRDefault="00802E99" w:rsidP="00802E99">
      <w:pPr>
        <w:rPr>
          <w:rFonts w:ascii="Arial" w:hAnsi="Arial" w:cs="Arial"/>
          <w:color w:val="000000"/>
          <w:szCs w:val="24"/>
        </w:rPr>
      </w:pPr>
      <w:r>
        <w:rPr>
          <w:rFonts w:ascii="Arial" w:hAnsi="Arial" w:cs="Arial"/>
          <w:color w:val="000000"/>
          <w:szCs w:val="24"/>
        </w:rPr>
        <w:t xml:space="preserve">It was only four years ago in 2014, that RiskCover reported its fifth consecutive </w:t>
      </w:r>
      <w:r w:rsidRPr="0074269A">
        <w:rPr>
          <w:rFonts w:ascii="Arial" w:hAnsi="Arial" w:cs="Arial"/>
          <w:color w:val="000000"/>
          <w:szCs w:val="24"/>
        </w:rPr>
        <w:t>underwriting loss</w:t>
      </w:r>
      <w:r>
        <w:rPr>
          <w:rFonts w:ascii="Arial" w:hAnsi="Arial" w:cs="Arial"/>
          <w:color w:val="000000"/>
          <w:szCs w:val="24"/>
        </w:rPr>
        <w:t xml:space="preserve"> (a cumulative total underwriting loss of $237.1 million from 2010 to 2014). Agencies had also raised concerns about premium increases at that time.</w:t>
      </w:r>
    </w:p>
    <w:p w14:paraId="2C24B795" w14:textId="77777777" w:rsidR="00802E99" w:rsidRDefault="00802E99" w:rsidP="00802E99">
      <w:pPr>
        <w:rPr>
          <w:rFonts w:ascii="Arial" w:hAnsi="Arial" w:cs="Arial"/>
          <w:color w:val="000000"/>
          <w:szCs w:val="24"/>
        </w:rPr>
      </w:pPr>
    </w:p>
    <w:p w14:paraId="17A3A599" w14:textId="77777777" w:rsidR="00802E99" w:rsidRPr="00CF644F" w:rsidRDefault="00802E99" w:rsidP="00802E99">
      <w:pPr>
        <w:rPr>
          <w:rFonts w:ascii="Arial" w:hAnsi="Arial" w:cs="Arial"/>
          <w:color w:val="000000"/>
          <w:sz w:val="28"/>
          <w:szCs w:val="28"/>
        </w:rPr>
      </w:pPr>
      <w:r w:rsidRPr="00CF644F">
        <w:rPr>
          <w:rFonts w:ascii="Arial" w:hAnsi="Arial" w:cs="Arial"/>
          <w:b/>
          <w:color w:val="000000"/>
          <w:sz w:val="28"/>
          <w:szCs w:val="28"/>
        </w:rPr>
        <w:t>Claims</w:t>
      </w:r>
    </w:p>
    <w:p w14:paraId="7C14A995" w14:textId="77777777" w:rsidR="00802E99" w:rsidRDefault="00802E99" w:rsidP="00802E99">
      <w:pPr>
        <w:rPr>
          <w:rFonts w:ascii="Arial" w:hAnsi="Arial" w:cs="Arial"/>
          <w:color w:val="000000"/>
          <w:szCs w:val="24"/>
        </w:rPr>
      </w:pPr>
      <w:r>
        <w:rPr>
          <w:rFonts w:ascii="Arial" w:hAnsi="Arial" w:cs="Arial"/>
          <w:color w:val="000000"/>
          <w:szCs w:val="24"/>
        </w:rPr>
        <w:t xml:space="preserve">The RiskCover Fund administered 20,033 claims (excluding low value property claims) during 2018, which was within 0.04% of the number of claims (20,041) administered during 2017. This stability in claims administered numbers is a good result and indicates Government agencies are managing their risks so that we are not seeing an increasing number of people being injured at work or making insurance claims compared to the prior year. </w:t>
      </w:r>
    </w:p>
    <w:p w14:paraId="3FBAB283" w14:textId="77777777" w:rsidR="00802E99" w:rsidRDefault="00802E99" w:rsidP="00802E99">
      <w:pPr>
        <w:rPr>
          <w:rFonts w:ascii="Arial" w:hAnsi="Arial" w:cs="Arial"/>
          <w:color w:val="000000"/>
          <w:szCs w:val="24"/>
        </w:rPr>
      </w:pPr>
    </w:p>
    <w:p w14:paraId="785F2F51" w14:textId="77777777" w:rsidR="00802E99" w:rsidRDefault="00802E99" w:rsidP="00802E99">
      <w:pPr>
        <w:tabs>
          <w:tab w:val="left" w:pos="284"/>
        </w:tabs>
        <w:rPr>
          <w:rFonts w:ascii="Arial" w:hAnsi="Arial" w:cs="Arial"/>
          <w:color w:val="000000"/>
          <w:szCs w:val="24"/>
        </w:rPr>
      </w:pPr>
      <w:r w:rsidRPr="00CF644F">
        <w:rPr>
          <w:rFonts w:ascii="Arial" w:hAnsi="Arial" w:cs="Arial"/>
          <w:color w:val="000000"/>
          <w:szCs w:val="24"/>
        </w:rPr>
        <w:t xml:space="preserve">RiskCover received </w:t>
      </w:r>
      <w:r>
        <w:rPr>
          <w:rFonts w:ascii="Arial" w:hAnsi="Arial" w:cs="Arial"/>
          <w:color w:val="000000"/>
          <w:szCs w:val="24"/>
        </w:rPr>
        <w:t>11,685</w:t>
      </w:r>
      <w:r w:rsidRPr="00CF644F">
        <w:rPr>
          <w:rFonts w:ascii="Arial" w:hAnsi="Arial" w:cs="Arial"/>
          <w:color w:val="000000"/>
          <w:szCs w:val="24"/>
        </w:rPr>
        <w:t xml:space="preserve"> new insurance claims during the year</w:t>
      </w:r>
      <w:r>
        <w:rPr>
          <w:rFonts w:ascii="Arial" w:hAnsi="Arial" w:cs="Arial"/>
          <w:color w:val="000000"/>
          <w:szCs w:val="24"/>
        </w:rPr>
        <w:t xml:space="preserve">, which was 174 fewer new claims than were received in 2017 (excluding low value property claims). There were 4,704 new workers’ compensation claims received in 2018, a reduction of 127 claims compared to the prior year. The </w:t>
      </w:r>
      <w:r w:rsidRPr="000D75DC">
        <w:rPr>
          <w:rFonts w:ascii="Arial" w:hAnsi="Arial" w:cs="Arial"/>
          <w:color w:val="000000"/>
          <w:szCs w:val="24"/>
        </w:rPr>
        <w:t xml:space="preserve">reduction in the number of new </w:t>
      </w:r>
      <w:r>
        <w:rPr>
          <w:rFonts w:ascii="Arial" w:hAnsi="Arial" w:cs="Arial"/>
          <w:color w:val="000000"/>
          <w:szCs w:val="24"/>
        </w:rPr>
        <w:t xml:space="preserve">workers’ compensation </w:t>
      </w:r>
      <w:r w:rsidRPr="000D75DC">
        <w:rPr>
          <w:rFonts w:ascii="Arial" w:hAnsi="Arial" w:cs="Arial"/>
          <w:color w:val="000000"/>
          <w:szCs w:val="24"/>
        </w:rPr>
        <w:t xml:space="preserve">claims </w:t>
      </w:r>
      <w:r>
        <w:rPr>
          <w:rFonts w:ascii="Arial" w:hAnsi="Arial" w:cs="Arial"/>
          <w:color w:val="000000"/>
          <w:szCs w:val="24"/>
        </w:rPr>
        <w:t xml:space="preserve">appears to reflect government agencies’ </w:t>
      </w:r>
      <w:r w:rsidRPr="000D75DC">
        <w:rPr>
          <w:rFonts w:ascii="Arial" w:hAnsi="Arial" w:cs="Arial"/>
          <w:color w:val="000000"/>
          <w:szCs w:val="24"/>
        </w:rPr>
        <w:t>commitment to occupational health and safety</w:t>
      </w:r>
      <w:r>
        <w:rPr>
          <w:rFonts w:ascii="Arial" w:hAnsi="Arial" w:cs="Arial"/>
          <w:color w:val="000000"/>
          <w:szCs w:val="24"/>
        </w:rPr>
        <w:t xml:space="preserve"> and </w:t>
      </w:r>
      <w:r w:rsidRPr="000D75DC">
        <w:rPr>
          <w:rFonts w:ascii="Arial" w:hAnsi="Arial" w:cs="Arial"/>
          <w:color w:val="000000"/>
          <w:szCs w:val="24"/>
        </w:rPr>
        <w:t>reduced growth of the public sector workforce.</w:t>
      </w:r>
    </w:p>
    <w:p w14:paraId="76A72D8F" w14:textId="77777777" w:rsidR="00802E99" w:rsidRDefault="00802E99" w:rsidP="00802E99">
      <w:pPr>
        <w:tabs>
          <w:tab w:val="left" w:pos="284"/>
        </w:tabs>
        <w:rPr>
          <w:rFonts w:ascii="Arial" w:hAnsi="Arial" w:cs="Arial"/>
          <w:color w:val="000000"/>
          <w:szCs w:val="24"/>
        </w:rPr>
      </w:pPr>
    </w:p>
    <w:p w14:paraId="068BBFF6" w14:textId="77777777" w:rsidR="00802E99" w:rsidRDefault="00802E99" w:rsidP="00802E99">
      <w:pPr>
        <w:rPr>
          <w:rFonts w:ascii="Arial" w:hAnsi="Arial" w:cs="Arial"/>
          <w:color w:val="000000"/>
          <w:szCs w:val="24"/>
        </w:rPr>
      </w:pPr>
      <w:r w:rsidRPr="000D75DC">
        <w:rPr>
          <w:rFonts w:ascii="Arial" w:hAnsi="Arial" w:cs="Arial"/>
          <w:color w:val="000000"/>
          <w:szCs w:val="24"/>
        </w:rPr>
        <w:t>RiskCover continues to work with government agencies to identify where and how injuries occur</w:t>
      </w:r>
      <w:r>
        <w:rPr>
          <w:rFonts w:ascii="Arial" w:hAnsi="Arial" w:cs="Arial"/>
          <w:color w:val="000000"/>
          <w:szCs w:val="24"/>
        </w:rPr>
        <w:t>, which guides preventative occupational health and safety initiatives delivered by those agencies.</w:t>
      </w:r>
    </w:p>
    <w:p w14:paraId="3A500155" w14:textId="77777777" w:rsidR="00802E99" w:rsidRDefault="00802E99" w:rsidP="00802E99">
      <w:pPr>
        <w:rPr>
          <w:rFonts w:ascii="Arial" w:hAnsi="Arial" w:cs="Arial"/>
          <w:color w:val="000000"/>
          <w:szCs w:val="24"/>
        </w:rPr>
      </w:pPr>
    </w:p>
    <w:p w14:paraId="2A4FDFDD" w14:textId="77777777" w:rsidR="00802E99" w:rsidRDefault="00802E99" w:rsidP="00802E99">
      <w:pPr>
        <w:rPr>
          <w:rFonts w:ascii="Arial" w:hAnsi="Arial" w:cs="Arial"/>
          <w:color w:val="000000"/>
          <w:szCs w:val="24"/>
        </w:rPr>
      </w:pPr>
      <w:r>
        <w:rPr>
          <w:rFonts w:ascii="Arial" w:hAnsi="Arial" w:cs="Arial"/>
          <w:color w:val="000000"/>
          <w:szCs w:val="24"/>
        </w:rPr>
        <w:t xml:space="preserve">The graph below shows the number of workers’ compensation claims received and managed by RiskCover has fallen considerably since the high-claim period of 2010 to 2013 and are the lowest levels experienced over the last ten years. </w:t>
      </w:r>
    </w:p>
    <w:p w14:paraId="554BEDC9" w14:textId="77777777" w:rsidR="00802E99" w:rsidRDefault="00802E99" w:rsidP="00802E99">
      <w:pPr>
        <w:rPr>
          <w:rFonts w:ascii="Arial" w:hAnsi="Arial" w:cs="Arial"/>
          <w:color w:val="000000"/>
          <w:szCs w:val="24"/>
        </w:rPr>
      </w:pPr>
    </w:p>
    <w:p w14:paraId="5CEE2351" w14:textId="2A3E85B8" w:rsidR="00802E99" w:rsidRPr="00FC08D5" w:rsidRDefault="00FC08D5" w:rsidP="00802E99">
      <w:pPr>
        <w:rPr>
          <w:rFonts w:ascii="Arial" w:hAnsi="Arial" w:cs="Arial"/>
          <w:i/>
          <w:color w:val="000000"/>
          <w:szCs w:val="24"/>
        </w:rPr>
      </w:pPr>
      <w:r>
        <w:rPr>
          <w:rFonts w:ascii="Arial" w:hAnsi="Arial" w:cs="Arial"/>
          <w:i/>
          <w:color w:val="000000"/>
          <w:szCs w:val="24"/>
        </w:rPr>
        <w:t>Graph – Workers’ C</w:t>
      </w:r>
      <w:r w:rsidRPr="00FC08D5">
        <w:rPr>
          <w:rFonts w:ascii="Arial" w:hAnsi="Arial" w:cs="Arial"/>
          <w:i/>
          <w:color w:val="000000"/>
          <w:szCs w:val="24"/>
        </w:rPr>
        <w:t>ompensation Claims T</w:t>
      </w:r>
      <w:r w:rsidR="00802E99" w:rsidRPr="00FC08D5">
        <w:rPr>
          <w:rFonts w:ascii="Arial" w:hAnsi="Arial" w:cs="Arial"/>
          <w:i/>
          <w:color w:val="000000"/>
          <w:szCs w:val="24"/>
        </w:rPr>
        <w:t>rends</w:t>
      </w:r>
    </w:p>
    <w:p w14:paraId="36CDB876" w14:textId="77777777" w:rsidR="00802E99" w:rsidRPr="00FC08D5" w:rsidRDefault="00802E99" w:rsidP="00802E99">
      <w:pPr>
        <w:rPr>
          <w:rFonts w:ascii="Arial" w:hAnsi="Arial" w:cs="Arial"/>
          <w:i/>
          <w:color w:val="000000"/>
          <w:szCs w:val="24"/>
        </w:rPr>
      </w:pPr>
    </w:p>
    <w:tbl>
      <w:tblPr>
        <w:tblW w:w="8500" w:type="dxa"/>
        <w:tblLook w:val="04A0" w:firstRow="1" w:lastRow="0" w:firstColumn="1" w:lastColumn="0" w:noHBand="0" w:noVBand="1"/>
      </w:tblPr>
      <w:tblGrid>
        <w:gridCol w:w="1200"/>
        <w:gridCol w:w="2440"/>
        <w:gridCol w:w="2320"/>
        <w:gridCol w:w="2540"/>
      </w:tblGrid>
      <w:tr w:rsidR="00802E99" w:rsidRPr="00FC08D5" w14:paraId="4AC46AB8" w14:textId="77777777" w:rsidTr="004046F0">
        <w:trPr>
          <w:trHeight w:val="89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A5F23" w14:textId="77777777" w:rsidR="00802E99" w:rsidRPr="00FC08D5" w:rsidRDefault="00802E99" w:rsidP="004046F0">
            <w:pPr>
              <w:rPr>
                <w:rFonts w:ascii="Arial" w:hAnsi="Arial" w:cs="Arial"/>
                <w:color w:val="000000"/>
                <w:szCs w:val="24"/>
                <w:lang w:eastAsia="en-AU"/>
              </w:rPr>
            </w:pPr>
            <w:r w:rsidRPr="00FC08D5">
              <w:rPr>
                <w:rFonts w:ascii="Arial" w:hAnsi="Arial" w:cs="Arial"/>
                <w:color w:val="000000"/>
              </w:rPr>
              <w:t> </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2D907425" w14:textId="2C0A9070"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rPr>
              <w:t>New claims</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19C46C49" w14:textId="0E9AFC14" w:rsidR="00802E99" w:rsidRPr="00FC08D5" w:rsidRDefault="00FC08D5" w:rsidP="00FC08D5">
            <w:pPr>
              <w:jc w:val="left"/>
              <w:rPr>
                <w:rFonts w:ascii="Arial" w:hAnsi="Arial" w:cs="Arial"/>
                <w:b/>
                <w:bCs/>
                <w:color w:val="000000"/>
                <w:szCs w:val="24"/>
                <w:lang w:eastAsia="en-AU"/>
              </w:rPr>
            </w:pPr>
            <w:r>
              <w:rPr>
                <w:rFonts w:ascii="Arial" w:hAnsi="Arial" w:cs="Arial"/>
                <w:b/>
                <w:bCs/>
                <w:color w:val="000000"/>
              </w:rPr>
              <w:t>Active</w:t>
            </w:r>
            <w:r w:rsidR="00802E99" w:rsidRPr="00FC08D5">
              <w:rPr>
                <w:rFonts w:ascii="Arial" w:hAnsi="Arial" w:cs="Arial"/>
                <w:b/>
                <w:bCs/>
                <w:color w:val="000000"/>
              </w:rPr>
              <w:t xml:space="preserve"> claims </w:t>
            </w:r>
            <w:r>
              <w:rPr>
                <w:rFonts w:ascii="Arial" w:hAnsi="Arial" w:cs="Arial"/>
                <w:b/>
                <w:bCs/>
                <w:color w:val="000000"/>
              </w:rPr>
              <w:t xml:space="preserve">(as </w:t>
            </w:r>
            <w:r w:rsidR="00802E99" w:rsidRPr="00FC08D5">
              <w:rPr>
                <w:rFonts w:ascii="Arial" w:hAnsi="Arial" w:cs="Arial"/>
                <w:b/>
                <w:bCs/>
                <w:color w:val="000000"/>
              </w:rPr>
              <w:t>at 30 June 2018</w:t>
            </w:r>
            <w:r>
              <w:rPr>
                <w:rFonts w:ascii="Arial" w:hAnsi="Arial" w:cs="Arial"/>
                <w:b/>
                <w:bCs/>
                <w:color w:val="000000"/>
              </w:rPr>
              <w:t>)</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1F7AF2E1" w14:textId="6429E270"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rPr>
              <w:t xml:space="preserve">Estimated claims cost </w:t>
            </w:r>
            <w:r w:rsidR="00FC08D5">
              <w:rPr>
                <w:rFonts w:ascii="Arial" w:hAnsi="Arial" w:cs="Arial"/>
                <w:b/>
                <w:bCs/>
                <w:color w:val="000000"/>
              </w:rPr>
              <w:t>per lodgement year (after 12 months)</w:t>
            </w:r>
          </w:p>
        </w:tc>
      </w:tr>
      <w:tr w:rsidR="00802E99" w:rsidRPr="00FC08D5" w14:paraId="50BA3F12"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3EEB89"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2009</w:t>
            </w:r>
          </w:p>
        </w:tc>
        <w:tc>
          <w:tcPr>
            <w:tcW w:w="2440" w:type="dxa"/>
            <w:tcBorders>
              <w:top w:val="nil"/>
              <w:left w:val="nil"/>
              <w:bottom w:val="single" w:sz="4" w:space="0" w:color="auto"/>
              <w:right w:val="single" w:sz="4" w:space="0" w:color="auto"/>
            </w:tcBorders>
            <w:shd w:val="clear" w:color="auto" w:fill="auto"/>
            <w:noWrap/>
            <w:vAlign w:val="center"/>
            <w:hideMark/>
          </w:tcPr>
          <w:p w14:paraId="44DEC6AE"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4,918</w:t>
            </w:r>
          </w:p>
        </w:tc>
        <w:tc>
          <w:tcPr>
            <w:tcW w:w="2320" w:type="dxa"/>
            <w:tcBorders>
              <w:top w:val="nil"/>
              <w:left w:val="nil"/>
              <w:bottom w:val="single" w:sz="4" w:space="0" w:color="auto"/>
              <w:right w:val="single" w:sz="4" w:space="0" w:color="auto"/>
            </w:tcBorders>
            <w:shd w:val="clear" w:color="auto" w:fill="auto"/>
            <w:noWrap/>
            <w:vAlign w:val="center"/>
            <w:hideMark/>
          </w:tcPr>
          <w:p w14:paraId="3178C7DF"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4,638</w:t>
            </w:r>
          </w:p>
        </w:tc>
        <w:tc>
          <w:tcPr>
            <w:tcW w:w="2540" w:type="dxa"/>
            <w:tcBorders>
              <w:top w:val="nil"/>
              <w:left w:val="nil"/>
              <w:bottom w:val="single" w:sz="4" w:space="0" w:color="auto"/>
              <w:right w:val="single" w:sz="4" w:space="0" w:color="auto"/>
            </w:tcBorders>
            <w:shd w:val="clear" w:color="auto" w:fill="auto"/>
            <w:noWrap/>
            <w:vAlign w:val="center"/>
            <w:hideMark/>
          </w:tcPr>
          <w:p w14:paraId="01987482"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$56,312,395</w:t>
            </w:r>
          </w:p>
        </w:tc>
      </w:tr>
      <w:tr w:rsidR="00802E99" w:rsidRPr="00FC08D5" w14:paraId="38E22B2F"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1276F3"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2010</w:t>
            </w:r>
          </w:p>
        </w:tc>
        <w:tc>
          <w:tcPr>
            <w:tcW w:w="2440" w:type="dxa"/>
            <w:tcBorders>
              <w:top w:val="nil"/>
              <w:left w:val="nil"/>
              <w:bottom w:val="single" w:sz="4" w:space="0" w:color="auto"/>
              <w:right w:val="single" w:sz="4" w:space="0" w:color="auto"/>
            </w:tcBorders>
            <w:shd w:val="clear" w:color="auto" w:fill="auto"/>
            <w:noWrap/>
            <w:vAlign w:val="center"/>
            <w:hideMark/>
          </w:tcPr>
          <w:p w14:paraId="236A0C50"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5,213</w:t>
            </w:r>
          </w:p>
        </w:tc>
        <w:tc>
          <w:tcPr>
            <w:tcW w:w="2320" w:type="dxa"/>
            <w:tcBorders>
              <w:top w:val="nil"/>
              <w:left w:val="nil"/>
              <w:bottom w:val="single" w:sz="4" w:space="0" w:color="auto"/>
              <w:right w:val="single" w:sz="4" w:space="0" w:color="auto"/>
            </w:tcBorders>
            <w:shd w:val="clear" w:color="auto" w:fill="auto"/>
            <w:noWrap/>
            <w:vAlign w:val="center"/>
            <w:hideMark/>
          </w:tcPr>
          <w:p w14:paraId="36673034"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4,578</w:t>
            </w:r>
          </w:p>
        </w:tc>
        <w:tc>
          <w:tcPr>
            <w:tcW w:w="2540" w:type="dxa"/>
            <w:tcBorders>
              <w:top w:val="nil"/>
              <w:left w:val="nil"/>
              <w:bottom w:val="single" w:sz="4" w:space="0" w:color="auto"/>
              <w:right w:val="single" w:sz="4" w:space="0" w:color="auto"/>
            </w:tcBorders>
            <w:shd w:val="clear" w:color="auto" w:fill="auto"/>
            <w:noWrap/>
            <w:vAlign w:val="center"/>
            <w:hideMark/>
          </w:tcPr>
          <w:p w14:paraId="2FB11E3F"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$67,801,498</w:t>
            </w:r>
          </w:p>
        </w:tc>
      </w:tr>
      <w:tr w:rsidR="00802E99" w:rsidRPr="00FC08D5" w14:paraId="0D685220"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9F6AD0"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2011</w:t>
            </w:r>
          </w:p>
        </w:tc>
        <w:tc>
          <w:tcPr>
            <w:tcW w:w="2440" w:type="dxa"/>
            <w:tcBorders>
              <w:top w:val="nil"/>
              <w:left w:val="nil"/>
              <w:bottom w:val="single" w:sz="4" w:space="0" w:color="auto"/>
              <w:right w:val="single" w:sz="4" w:space="0" w:color="auto"/>
            </w:tcBorders>
            <w:shd w:val="clear" w:color="auto" w:fill="auto"/>
            <w:noWrap/>
            <w:vAlign w:val="center"/>
            <w:hideMark/>
          </w:tcPr>
          <w:p w14:paraId="19D18502"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5,226</w:t>
            </w:r>
          </w:p>
        </w:tc>
        <w:tc>
          <w:tcPr>
            <w:tcW w:w="2320" w:type="dxa"/>
            <w:tcBorders>
              <w:top w:val="nil"/>
              <w:left w:val="nil"/>
              <w:bottom w:val="single" w:sz="4" w:space="0" w:color="auto"/>
              <w:right w:val="single" w:sz="4" w:space="0" w:color="auto"/>
            </w:tcBorders>
            <w:shd w:val="clear" w:color="auto" w:fill="auto"/>
            <w:noWrap/>
            <w:vAlign w:val="center"/>
            <w:hideMark/>
          </w:tcPr>
          <w:p w14:paraId="15E8503B"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5,134</w:t>
            </w:r>
          </w:p>
        </w:tc>
        <w:tc>
          <w:tcPr>
            <w:tcW w:w="2540" w:type="dxa"/>
            <w:tcBorders>
              <w:top w:val="nil"/>
              <w:left w:val="nil"/>
              <w:bottom w:val="single" w:sz="4" w:space="0" w:color="auto"/>
              <w:right w:val="single" w:sz="4" w:space="0" w:color="auto"/>
            </w:tcBorders>
            <w:shd w:val="clear" w:color="auto" w:fill="auto"/>
            <w:noWrap/>
            <w:vAlign w:val="center"/>
            <w:hideMark/>
          </w:tcPr>
          <w:p w14:paraId="0C5AAB3F"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$75,821,881</w:t>
            </w:r>
          </w:p>
        </w:tc>
      </w:tr>
      <w:tr w:rsidR="00802E99" w:rsidRPr="00FC08D5" w14:paraId="51CEEE9A"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235EFA"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2012</w:t>
            </w:r>
          </w:p>
        </w:tc>
        <w:tc>
          <w:tcPr>
            <w:tcW w:w="2440" w:type="dxa"/>
            <w:tcBorders>
              <w:top w:val="nil"/>
              <w:left w:val="nil"/>
              <w:bottom w:val="single" w:sz="4" w:space="0" w:color="auto"/>
              <w:right w:val="single" w:sz="4" w:space="0" w:color="auto"/>
            </w:tcBorders>
            <w:shd w:val="clear" w:color="auto" w:fill="auto"/>
            <w:noWrap/>
            <w:vAlign w:val="center"/>
            <w:hideMark/>
          </w:tcPr>
          <w:p w14:paraId="45FF965B"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5,110</w:t>
            </w:r>
          </w:p>
        </w:tc>
        <w:tc>
          <w:tcPr>
            <w:tcW w:w="2320" w:type="dxa"/>
            <w:tcBorders>
              <w:top w:val="nil"/>
              <w:left w:val="nil"/>
              <w:bottom w:val="single" w:sz="4" w:space="0" w:color="auto"/>
              <w:right w:val="single" w:sz="4" w:space="0" w:color="auto"/>
            </w:tcBorders>
            <w:shd w:val="clear" w:color="auto" w:fill="auto"/>
            <w:noWrap/>
            <w:vAlign w:val="center"/>
            <w:hideMark/>
          </w:tcPr>
          <w:p w14:paraId="7937EC82"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5,145</w:t>
            </w:r>
          </w:p>
        </w:tc>
        <w:tc>
          <w:tcPr>
            <w:tcW w:w="2540" w:type="dxa"/>
            <w:tcBorders>
              <w:top w:val="nil"/>
              <w:left w:val="nil"/>
              <w:bottom w:val="single" w:sz="4" w:space="0" w:color="auto"/>
              <w:right w:val="single" w:sz="4" w:space="0" w:color="auto"/>
            </w:tcBorders>
            <w:shd w:val="clear" w:color="auto" w:fill="auto"/>
            <w:noWrap/>
            <w:vAlign w:val="center"/>
            <w:hideMark/>
          </w:tcPr>
          <w:p w14:paraId="7179340E"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$85,477,520</w:t>
            </w:r>
          </w:p>
        </w:tc>
      </w:tr>
      <w:tr w:rsidR="00802E99" w:rsidRPr="00FC08D5" w14:paraId="26A06839"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A46AFB"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2013</w:t>
            </w:r>
          </w:p>
        </w:tc>
        <w:tc>
          <w:tcPr>
            <w:tcW w:w="2440" w:type="dxa"/>
            <w:tcBorders>
              <w:top w:val="nil"/>
              <w:left w:val="nil"/>
              <w:bottom w:val="single" w:sz="4" w:space="0" w:color="auto"/>
              <w:right w:val="single" w:sz="4" w:space="0" w:color="auto"/>
            </w:tcBorders>
            <w:shd w:val="clear" w:color="auto" w:fill="auto"/>
            <w:noWrap/>
            <w:vAlign w:val="center"/>
            <w:hideMark/>
          </w:tcPr>
          <w:p w14:paraId="60A8DB46"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5,037</w:t>
            </w:r>
          </w:p>
        </w:tc>
        <w:tc>
          <w:tcPr>
            <w:tcW w:w="2320" w:type="dxa"/>
            <w:tcBorders>
              <w:top w:val="nil"/>
              <w:left w:val="nil"/>
              <w:bottom w:val="single" w:sz="4" w:space="0" w:color="auto"/>
              <w:right w:val="single" w:sz="4" w:space="0" w:color="auto"/>
            </w:tcBorders>
            <w:shd w:val="clear" w:color="auto" w:fill="auto"/>
            <w:noWrap/>
            <w:vAlign w:val="center"/>
            <w:hideMark/>
          </w:tcPr>
          <w:p w14:paraId="48F10032"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5,265</w:t>
            </w:r>
          </w:p>
        </w:tc>
        <w:tc>
          <w:tcPr>
            <w:tcW w:w="2540" w:type="dxa"/>
            <w:tcBorders>
              <w:top w:val="nil"/>
              <w:left w:val="nil"/>
              <w:bottom w:val="single" w:sz="4" w:space="0" w:color="auto"/>
              <w:right w:val="single" w:sz="4" w:space="0" w:color="auto"/>
            </w:tcBorders>
            <w:shd w:val="clear" w:color="auto" w:fill="auto"/>
            <w:noWrap/>
            <w:vAlign w:val="center"/>
            <w:hideMark/>
          </w:tcPr>
          <w:p w14:paraId="60A149FD"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$89,947,065</w:t>
            </w:r>
          </w:p>
        </w:tc>
      </w:tr>
      <w:tr w:rsidR="00802E99" w:rsidRPr="00FC08D5" w14:paraId="3DBB5D39"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CB091A"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2014</w:t>
            </w:r>
          </w:p>
        </w:tc>
        <w:tc>
          <w:tcPr>
            <w:tcW w:w="2440" w:type="dxa"/>
            <w:tcBorders>
              <w:top w:val="nil"/>
              <w:left w:val="nil"/>
              <w:bottom w:val="single" w:sz="4" w:space="0" w:color="auto"/>
              <w:right w:val="single" w:sz="4" w:space="0" w:color="auto"/>
            </w:tcBorders>
            <w:shd w:val="clear" w:color="auto" w:fill="auto"/>
            <w:noWrap/>
            <w:vAlign w:val="center"/>
            <w:hideMark/>
          </w:tcPr>
          <w:p w14:paraId="722925B3"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4,975</w:t>
            </w:r>
          </w:p>
        </w:tc>
        <w:tc>
          <w:tcPr>
            <w:tcW w:w="2320" w:type="dxa"/>
            <w:tcBorders>
              <w:top w:val="nil"/>
              <w:left w:val="nil"/>
              <w:bottom w:val="single" w:sz="4" w:space="0" w:color="auto"/>
              <w:right w:val="single" w:sz="4" w:space="0" w:color="auto"/>
            </w:tcBorders>
            <w:shd w:val="clear" w:color="auto" w:fill="auto"/>
            <w:noWrap/>
            <w:vAlign w:val="center"/>
            <w:hideMark/>
          </w:tcPr>
          <w:p w14:paraId="2F983C97"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4,650</w:t>
            </w:r>
          </w:p>
        </w:tc>
        <w:tc>
          <w:tcPr>
            <w:tcW w:w="2540" w:type="dxa"/>
            <w:tcBorders>
              <w:top w:val="nil"/>
              <w:left w:val="nil"/>
              <w:bottom w:val="single" w:sz="4" w:space="0" w:color="auto"/>
              <w:right w:val="single" w:sz="4" w:space="0" w:color="auto"/>
            </w:tcBorders>
            <w:shd w:val="clear" w:color="auto" w:fill="auto"/>
            <w:noWrap/>
            <w:vAlign w:val="center"/>
            <w:hideMark/>
          </w:tcPr>
          <w:p w14:paraId="7E592A5E"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$92,190,213</w:t>
            </w:r>
          </w:p>
        </w:tc>
      </w:tr>
      <w:tr w:rsidR="00802E99" w:rsidRPr="00FC08D5" w14:paraId="61D1D53E"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F41DF6"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2015</w:t>
            </w:r>
          </w:p>
        </w:tc>
        <w:tc>
          <w:tcPr>
            <w:tcW w:w="2440" w:type="dxa"/>
            <w:tcBorders>
              <w:top w:val="nil"/>
              <w:left w:val="nil"/>
              <w:bottom w:val="single" w:sz="4" w:space="0" w:color="auto"/>
              <w:right w:val="single" w:sz="4" w:space="0" w:color="auto"/>
            </w:tcBorders>
            <w:shd w:val="clear" w:color="auto" w:fill="auto"/>
            <w:noWrap/>
            <w:vAlign w:val="center"/>
            <w:hideMark/>
          </w:tcPr>
          <w:p w14:paraId="4B2E406E"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4,710</w:t>
            </w:r>
          </w:p>
        </w:tc>
        <w:tc>
          <w:tcPr>
            <w:tcW w:w="2320" w:type="dxa"/>
            <w:tcBorders>
              <w:top w:val="nil"/>
              <w:left w:val="nil"/>
              <w:bottom w:val="single" w:sz="4" w:space="0" w:color="auto"/>
              <w:right w:val="single" w:sz="4" w:space="0" w:color="auto"/>
            </w:tcBorders>
            <w:shd w:val="clear" w:color="auto" w:fill="auto"/>
            <w:noWrap/>
            <w:vAlign w:val="center"/>
            <w:hideMark/>
          </w:tcPr>
          <w:p w14:paraId="486AA28A"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4,600</w:t>
            </w:r>
          </w:p>
        </w:tc>
        <w:tc>
          <w:tcPr>
            <w:tcW w:w="2540" w:type="dxa"/>
            <w:tcBorders>
              <w:top w:val="nil"/>
              <w:left w:val="nil"/>
              <w:bottom w:val="single" w:sz="4" w:space="0" w:color="auto"/>
              <w:right w:val="single" w:sz="4" w:space="0" w:color="auto"/>
            </w:tcBorders>
            <w:shd w:val="clear" w:color="auto" w:fill="auto"/>
            <w:noWrap/>
            <w:vAlign w:val="center"/>
            <w:hideMark/>
          </w:tcPr>
          <w:p w14:paraId="3DEA5529"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$103,732,033</w:t>
            </w:r>
          </w:p>
        </w:tc>
      </w:tr>
      <w:tr w:rsidR="00802E99" w:rsidRPr="00FC08D5" w14:paraId="42D18F26"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EE9313"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2016</w:t>
            </w:r>
          </w:p>
        </w:tc>
        <w:tc>
          <w:tcPr>
            <w:tcW w:w="2440" w:type="dxa"/>
            <w:tcBorders>
              <w:top w:val="nil"/>
              <w:left w:val="nil"/>
              <w:bottom w:val="single" w:sz="4" w:space="0" w:color="auto"/>
              <w:right w:val="single" w:sz="4" w:space="0" w:color="auto"/>
            </w:tcBorders>
            <w:shd w:val="clear" w:color="auto" w:fill="auto"/>
            <w:noWrap/>
            <w:vAlign w:val="center"/>
            <w:hideMark/>
          </w:tcPr>
          <w:p w14:paraId="608D1ACA"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4,719</w:t>
            </w:r>
          </w:p>
        </w:tc>
        <w:tc>
          <w:tcPr>
            <w:tcW w:w="2320" w:type="dxa"/>
            <w:tcBorders>
              <w:top w:val="nil"/>
              <w:left w:val="nil"/>
              <w:bottom w:val="single" w:sz="4" w:space="0" w:color="auto"/>
              <w:right w:val="single" w:sz="4" w:space="0" w:color="auto"/>
            </w:tcBorders>
            <w:shd w:val="clear" w:color="auto" w:fill="auto"/>
            <w:noWrap/>
            <w:vAlign w:val="center"/>
            <w:hideMark/>
          </w:tcPr>
          <w:p w14:paraId="20499DE3"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4,143</w:t>
            </w:r>
          </w:p>
        </w:tc>
        <w:tc>
          <w:tcPr>
            <w:tcW w:w="2540" w:type="dxa"/>
            <w:tcBorders>
              <w:top w:val="nil"/>
              <w:left w:val="nil"/>
              <w:bottom w:val="single" w:sz="4" w:space="0" w:color="auto"/>
              <w:right w:val="single" w:sz="4" w:space="0" w:color="auto"/>
            </w:tcBorders>
            <w:shd w:val="clear" w:color="auto" w:fill="auto"/>
            <w:noWrap/>
            <w:vAlign w:val="center"/>
            <w:hideMark/>
          </w:tcPr>
          <w:p w14:paraId="433AD386"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$111,878,788</w:t>
            </w:r>
          </w:p>
        </w:tc>
      </w:tr>
      <w:tr w:rsidR="00802E99" w:rsidRPr="00FC08D5" w14:paraId="7EA2D615"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6D8BFA"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2017</w:t>
            </w:r>
          </w:p>
        </w:tc>
        <w:tc>
          <w:tcPr>
            <w:tcW w:w="2440" w:type="dxa"/>
            <w:tcBorders>
              <w:top w:val="nil"/>
              <w:left w:val="nil"/>
              <w:bottom w:val="single" w:sz="4" w:space="0" w:color="auto"/>
              <w:right w:val="single" w:sz="4" w:space="0" w:color="auto"/>
            </w:tcBorders>
            <w:shd w:val="clear" w:color="auto" w:fill="auto"/>
            <w:noWrap/>
            <w:vAlign w:val="center"/>
            <w:hideMark/>
          </w:tcPr>
          <w:p w14:paraId="119FFA99"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4,831</w:t>
            </w:r>
          </w:p>
        </w:tc>
        <w:tc>
          <w:tcPr>
            <w:tcW w:w="2320" w:type="dxa"/>
            <w:tcBorders>
              <w:top w:val="nil"/>
              <w:left w:val="nil"/>
              <w:bottom w:val="single" w:sz="4" w:space="0" w:color="auto"/>
              <w:right w:val="single" w:sz="4" w:space="0" w:color="auto"/>
            </w:tcBorders>
            <w:shd w:val="clear" w:color="auto" w:fill="auto"/>
            <w:noWrap/>
            <w:vAlign w:val="center"/>
            <w:hideMark/>
          </w:tcPr>
          <w:p w14:paraId="415D6DF7"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4,279</w:t>
            </w:r>
          </w:p>
        </w:tc>
        <w:tc>
          <w:tcPr>
            <w:tcW w:w="2540" w:type="dxa"/>
            <w:tcBorders>
              <w:top w:val="nil"/>
              <w:left w:val="nil"/>
              <w:bottom w:val="single" w:sz="4" w:space="0" w:color="auto"/>
              <w:right w:val="single" w:sz="4" w:space="0" w:color="auto"/>
            </w:tcBorders>
            <w:shd w:val="clear" w:color="auto" w:fill="auto"/>
            <w:noWrap/>
            <w:vAlign w:val="center"/>
            <w:hideMark/>
          </w:tcPr>
          <w:p w14:paraId="385060EA"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$114,879,785</w:t>
            </w:r>
          </w:p>
        </w:tc>
      </w:tr>
      <w:tr w:rsidR="00802E99" w:rsidRPr="00CF644F" w14:paraId="0B724FDE" w14:textId="77777777" w:rsidTr="004046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FBE51B"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2018</w:t>
            </w:r>
          </w:p>
        </w:tc>
        <w:tc>
          <w:tcPr>
            <w:tcW w:w="2440" w:type="dxa"/>
            <w:tcBorders>
              <w:top w:val="nil"/>
              <w:left w:val="nil"/>
              <w:bottom w:val="single" w:sz="4" w:space="0" w:color="auto"/>
              <w:right w:val="single" w:sz="4" w:space="0" w:color="auto"/>
            </w:tcBorders>
            <w:shd w:val="clear" w:color="auto" w:fill="auto"/>
            <w:noWrap/>
            <w:vAlign w:val="bottom"/>
            <w:hideMark/>
          </w:tcPr>
          <w:p w14:paraId="259111DB"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4,704</w:t>
            </w:r>
          </w:p>
        </w:tc>
        <w:tc>
          <w:tcPr>
            <w:tcW w:w="2320" w:type="dxa"/>
            <w:tcBorders>
              <w:top w:val="nil"/>
              <w:left w:val="nil"/>
              <w:bottom w:val="single" w:sz="4" w:space="0" w:color="auto"/>
              <w:right w:val="single" w:sz="4" w:space="0" w:color="auto"/>
            </w:tcBorders>
            <w:shd w:val="clear" w:color="auto" w:fill="auto"/>
            <w:noWrap/>
            <w:vAlign w:val="bottom"/>
            <w:hideMark/>
          </w:tcPr>
          <w:p w14:paraId="4966B841"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3,986</w:t>
            </w:r>
          </w:p>
        </w:tc>
        <w:tc>
          <w:tcPr>
            <w:tcW w:w="2540" w:type="dxa"/>
            <w:tcBorders>
              <w:top w:val="nil"/>
              <w:left w:val="nil"/>
              <w:bottom w:val="single" w:sz="4" w:space="0" w:color="auto"/>
              <w:right w:val="single" w:sz="4" w:space="0" w:color="auto"/>
            </w:tcBorders>
            <w:shd w:val="clear" w:color="auto" w:fill="auto"/>
            <w:noWrap/>
            <w:vAlign w:val="bottom"/>
            <w:hideMark/>
          </w:tcPr>
          <w:p w14:paraId="04B76A36"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$121,350,121</w:t>
            </w:r>
          </w:p>
        </w:tc>
      </w:tr>
    </w:tbl>
    <w:p w14:paraId="3B6EBE9B" w14:textId="77777777" w:rsidR="00802E99" w:rsidRDefault="00802E99" w:rsidP="00802E99">
      <w:pPr>
        <w:tabs>
          <w:tab w:val="left" w:pos="284"/>
        </w:tabs>
        <w:rPr>
          <w:rFonts w:ascii="Arial" w:hAnsi="Arial" w:cs="Arial"/>
          <w:color w:val="000000"/>
          <w:szCs w:val="24"/>
        </w:rPr>
      </w:pPr>
    </w:p>
    <w:p w14:paraId="22931AAD" w14:textId="77777777" w:rsidR="00802E99" w:rsidRDefault="00802E99" w:rsidP="00802E99">
      <w:pPr>
        <w:tabs>
          <w:tab w:val="left" w:pos="284"/>
        </w:tabs>
        <w:rPr>
          <w:rFonts w:ascii="Arial" w:hAnsi="Arial" w:cs="Arial"/>
          <w:color w:val="000000"/>
          <w:szCs w:val="24"/>
        </w:rPr>
      </w:pPr>
      <w:r>
        <w:rPr>
          <w:rFonts w:ascii="Arial" w:hAnsi="Arial" w:cs="Arial"/>
          <w:color w:val="000000"/>
          <w:szCs w:val="24"/>
        </w:rPr>
        <w:t xml:space="preserve">There was also a reduction of new property claims received for 2018, reducing from 4,208 received in 2017 to 4,079 in 2018. </w:t>
      </w:r>
      <w:r w:rsidRPr="00CF644F">
        <w:rPr>
          <w:rFonts w:ascii="Arial" w:hAnsi="Arial" w:cs="Arial"/>
          <w:color w:val="000000"/>
          <w:szCs w:val="24"/>
        </w:rPr>
        <w:t xml:space="preserve">The RiskCover Fund also </w:t>
      </w:r>
      <w:r>
        <w:rPr>
          <w:rFonts w:ascii="Arial" w:hAnsi="Arial" w:cs="Arial"/>
          <w:color w:val="000000"/>
          <w:szCs w:val="24"/>
        </w:rPr>
        <w:t>processed</w:t>
      </w:r>
      <w:r w:rsidRPr="00CF644F">
        <w:rPr>
          <w:rFonts w:ascii="Arial" w:hAnsi="Arial" w:cs="Arial"/>
          <w:color w:val="000000"/>
          <w:szCs w:val="24"/>
        </w:rPr>
        <w:t xml:space="preserve"> </w:t>
      </w:r>
      <w:r>
        <w:rPr>
          <w:rFonts w:ascii="Arial" w:hAnsi="Arial" w:cs="Arial"/>
          <w:color w:val="000000"/>
          <w:szCs w:val="24"/>
        </w:rPr>
        <w:t>8,788 (2017: 6,637)</w:t>
      </w:r>
      <w:r w:rsidRPr="00CF644F">
        <w:rPr>
          <w:rFonts w:ascii="Arial" w:hAnsi="Arial" w:cs="Arial"/>
          <w:color w:val="000000"/>
          <w:szCs w:val="24"/>
        </w:rPr>
        <w:t xml:space="preserve"> low value </w:t>
      </w:r>
      <w:r>
        <w:rPr>
          <w:rFonts w:ascii="Arial" w:hAnsi="Arial" w:cs="Arial"/>
          <w:color w:val="000000"/>
          <w:szCs w:val="24"/>
        </w:rPr>
        <w:t xml:space="preserve">property </w:t>
      </w:r>
      <w:r w:rsidRPr="00CF644F">
        <w:rPr>
          <w:rFonts w:ascii="Arial" w:hAnsi="Arial" w:cs="Arial"/>
          <w:color w:val="000000"/>
          <w:szCs w:val="24"/>
        </w:rPr>
        <w:t xml:space="preserve">claims managed externally by Building Management and Works, Department of Finance. </w:t>
      </w:r>
    </w:p>
    <w:p w14:paraId="00731493" w14:textId="77777777" w:rsidR="00802E99" w:rsidRDefault="00802E99" w:rsidP="00802E99">
      <w:pPr>
        <w:tabs>
          <w:tab w:val="left" w:pos="284"/>
        </w:tabs>
        <w:rPr>
          <w:rFonts w:ascii="Arial" w:hAnsi="Arial" w:cs="Arial"/>
          <w:color w:val="000000"/>
          <w:szCs w:val="24"/>
        </w:rPr>
      </w:pPr>
    </w:p>
    <w:p w14:paraId="59E907F1" w14:textId="77777777" w:rsidR="00802E99" w:rsidRDefault="00802E99" w:rsidP="00802E99">
      <w:pPr>
        <w:tabs>
          <w:tab w:val="left" w:pos="284"/>
        </w:tabs>
        <w:rPr>
          <w:rFonts w:ascii="Arial" w:hAnsi="Arial" w:cs="Arial"/>
          <w:color w:val="000000"/>
          <w:szCs w:val="24"/>
        </w:rPr>
      </w:pPr>
      <w:r>
        <w:rPr>
          <w:rFonts w:ascii="Arial" w:hAnsi="Arial" w:cs="Arial"/>
          <w:color w:val="000000"/>
          <w:szCs w:val="24"/>
        </w:rPr>
        <w:t xml:space="preserve">RiskCover staff continued their successful efforts of the previous two years to again reduce the number of open claims managed by the Division in 2018. The number of open RiskCover Fund claims at 30 June 2018 was 6,722 which was 303 (or 4.3%) fewer open claims compared to 30 June 2017 (7,025). An active claims finalisation approach by staff and stability in new claims numbers both helped to deliver that result. </w:t>
      </w:r>
    </w:p>
    <w:p w14:paraId="5BE29FC3" w14:textId="77777777" w:rsidR="00802E99" w:rsidRDefault="00802E99" w:rsidP="00802E99">
      <w:pPr>
        <w:tabs>
          <w:tab w:val="left" w:pos="284"/>
        </w:tabs>
        <w:rPr>
          <w:rFonts w:ascii="Arial" w:hAnsi="Arial" w:cs="Arial"/>
          <w:color w:val="000000"/>
          <w:szCs w:val="24"/>
        </w:rPr>
      </w:pPr>
    </w:p>
    <w:p w14:paraId="2017E0C5" w14:textId="77777777" w:rsidR="00802E99" w:rsidRPr="00FC08D5" w:rsidRDefault="00802E99" w:rsidP="00FC08D5">
      <w:pPr>
        <w:pStyle w:val="ARHeading3"/>
        <w:pBdr>
          <w:top w:val="single" w:sz="4" w:space="1" w:color="auto"/>
          <w:left w:val="single" w:sz="4" w:space="4" w:color="auto"/>
          <w:bottom w:val="single" w:sz="4" w:space="1" w:color="auto"/>
          <w:right w:val="single" w:sz="4" w:space="4" w:color="auto"/>
        </w:pBdr>
        <w:rPr>
          <w:rStyle w:val="Arial12pt"/>
          <w:sz w:val="28"/>
        </w:rPr>
      </w:pPr>
      <w:r w:rsidRPr="00FC08D5">
        <w:rPr>
          <w:rStyle w:val="Arial12pt"/>
          <w:sz w:val="28"/>
        </w:rPr>
        <w:t xml:space="preserve">John’s RiskCover Claims Experience </w:t>
      </w:r>
    </w:p>
    <w:p w14:paraId="4F16B2BE"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szCs w:val="24"/>
        </w:rPr>
      </w:pPr>
      <w:r w:rsidRPr="00FC08D5">
        <w:rPr>
          <w:rStyle w:val="Arial12pt"/>
          <w:rFonts w:eastAsiaTheme="majorEastAsia"/>
          <w:szCs w:val="24"/>
        </w:rPr>
        <w:t xml:space="preserve">In 2010, John* was injured at work during cardiopulmonary resuscitation training in Forrestfield. He overstretched and felt a sharp pain in his back. John injured one of the discs in his lower back which caused sciatic nerve pain. </w:t>
      </w:r>
    </w:p>
    <w:p w14:paraId="34D4004F"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szCs w:val="24"/>
        </w:rPr>
      </w:pPr>
    </w:p>
    <w:p w14:paraId="441CB602"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szCs w:val="24"/>
        </w:rPr>
      </w:pPr>
      <w:r w:rsidRPr="00FC08D5">
        <w:rPr>
          <w:rStyle w:val="Arial12pt"/>
          <w:rFonts w:eastAsiaTheme="majorEastAsia"/>
          <w:szCs w:val="24"/>
        </w:rPr>
        <w:t>John made a workers’ compensation claim with his employer, the Department of Fire and Emergency Services. RiskCover, as the Department’s insurer, funded John’s back surgery operations,</w:t>
      </w:r>
      <w:r w:rsidRPr="00FC08D5" w:rsidDel="009C7765">
        <w:rPr>
          <w:rStyle w:val="Arial12pt"/>
          <w:rFonts w:eastAsiaTheme="majorEastAsia"/>
          <w:szCs w:val="24"/>
        </w:rPr>
        <w:t xml:space="preserve"> </w:t>
      </w:r>
      <w:r w:rsidRPr="00FC08D5">
        <w:rPr>
          <w:rStyle w:val="Arial12pt"/>
          <w:rFonts w:eastAsiaTheme="majorEastAsia"/>
          <w:szCs w:val="24"/>
        </w:rPr>
        <w:t xml:space="preserve">physiotherapy treatment and </w:t>
      </w:r>
      <w:proofErr w:type="spellStart"/>
      <w:proofErr w:type="gramStart"/>
      <w:r w:rsidRPr="00FC08D5">
        <w:rPr>
          <w:rStyle w:val="Arial12pt"/>
          <w:rFonts w:eastAsiaTheme="majorEastAsia"/>
          <w:szCs w:val="24"/>
        </w:rPr>
        <w:t>pilates</w:t>
      </w:r>
      <w:proofErr w:type="spellEnd"/>
      <w:proofErr w:type="gramEnd"/>
      <w:r w:rsidRPr="00FC08D5">
        <w:rPr>
          <w:rStyle w:val="Arial12pt"/>
          <w:rFonts w:eastAsiaTheme="majorEastAsia"/>
          <w:szCs w:val="24"/>
        </w:rPr>
        <w:t xml:space="preserve">. RiskCover also paid John’s loss of wages. </w:t>
      </w:r>
    </w:p>
    <w:p w14:paraId="1C7F465E"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szCs w:val="24"/>
        </w:rPr>
      </w:pPr>
    </w:p>
    <w:p w14:paraId="59BB3D3E"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i/>
          <w:szCs w:val="24"/>
        </w:rPr>
      </w:pPr>
      <w:r w:rsidRPr="00FC08D5">
        <w:rPr>
          <w:rStyle w:val="Arial12pt"/>
          <w:rFonts w:eastAsiaTheme="majorEastAsia"/>
          <w:i/>
          <w:szCs w:val="24"/>
        </w:rPr>
        <w:t>"RiskCover funded my two back operations which allowed me to return to 95% full fitness and resume my position as a Fire Service instructor.</w:t>
      </w:r>
    </w:p>
    <w:p w14:paraId="7F295D18"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i/>
          <w:szCs w:val="24"/>
        </w:rPr>
      </w:pPr>
    </w:p>
    <w:p w14:paraId="70E55F4C"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i/>
          <w:szCs w:val="24"/>
        </w:rPr>
      </w:pPr>
      <w:r w:rsidRPr="00FC08D5">
        <w:rPr>
          <w:rStyle w:val="Arial12pt"/>
          <w:rFonts w:eastAsiaTheme="majorEastAsia"/>
          <w:i/>
          <w:szCs w:val="24"/>
        </w:rPr>
        <w:t>“The combination of the efforts of my injury management department and RiskCover has enabled me to continue my work … at the Fire and Rescue Training Academy.”</w:t>
      </w:r>
    </w:p>
    <w:p w14:paraId="2A85D0EF"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szCs w:val="24"/>
        </w:rPr>
      </w:pPr>
    </w:p>
    <w:p w14:paraId="6AAD3112"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szCs w:val="24"/>
        </w:rPr>
      </w:pPr>
      <w:r w:rsidRPr="00FC08D5">
        <w:rPr>
          <w:rStyle w:val="Arial12pt"/>
          <w:rFonts w:eastAsiaTheme="majorEastAsia"/>
          <w:szCs w:val="24"/>
        </w:rPr>
        <w:t>After a number of years, John returned to full-time work as a Fire Service instructor with the WA Fire and Emergency Services Academy.</w:t>
      </w:r>
    </w:p>
    <w:p w14:paraId="11406DFD" w14:textId="77777777" w:rsidR="00802E99" w:rsidRPr="00FC08D5" w:rsidRDefault="00802E99" w:rsidP="00FC08D5">
      <w:pPr>
        <w:pBdr>
          <w:top w:val="single" w:sz="4" w:space="1" w:color="auto"/>
          <w:left w:val="single" w:sz="4" w:space="4" w:color="auto"/>
          <w:bottom w:val="single" w:sz="4" w:space="1" w:color="auto"/>
          <w:right w:val="single" w:sz="4" w:space="4" w:color="auto"/>
        </w:pBdr>
        <w:rPr>
          <w:rStyle w:val="Arial12pt"/>
          <w:rFonts w:eastAsiaTheme="majorEastAsia"/>
          <w:szCs w:val="24"/>
        </w:rPr>
      </w:pPr>
    </w:p>
    <w:p w14:paraId="6FC82C58" w14:textId="77777777" w:rsidR="00802E99" w:rsidRDefault="00802E99" w:rsidP="00FC08D5">
      <w:pPr>
        <w:pBdr>
          <w:top w:val="single" w:sz="4" w:space="1" w:color="auto"/>
          <w:left w:val="single" w:sz="4" w:space="4" w:color="auto"/>
          <w:bottom w:val="single" w:sz="4" w:space="1" w:color="auto"/>
          <w:right w:val="single" w:sz="4" w:space="4" w:color="auto"/>
        </w:pBdr>
        <w:rPr>
          <w:rFonts w:ascii="Arial" w:hAnsi="Arial" w:cs="Arial"/>
          <w:i/>
          <w:sz w:val="20"/>
        </w:rPr>
      </w:pPr>
      <w:r w:rsidRPr="00FC08D5">
        <w:rPr>
          <w:rFonts w:ascii="Arial" w:hAnsi="Arial" w:cs="Arial"/>
          <w:i/>
          <w:sz w:val="20"/>
        </w:rPr>
        <w:lastRenderedPageBreak/>
        <w:t>*Name has been changed for privacy reasons.</w:t>
      </w:r>
    </w:p>
    <w:p w14:paraId="2D3AA870" w14:textId="77777777" w:rsidR="00802E99" w:rsidRDefault="00802E99" w:rsidP="00802E99">
      <w:pPr>
        <w:rPr>
          <w:rFonts w:ascii="Arial" w:hAnsi="Arial" w:cs="Arial"/>
          <w:b/>
          <w:color w:val="000000"/>
          <w:sz w:val="28"/>
          <w:szCs w:val="28"/>
        </w:rPr>
      </w:pPr>
    </w:p>
    <w:p w14:paraId="3E5CAEF3" w14:textId="77777777" w:rsidR="00802E99" w:rsidRPr="00CF644F" w:rsidRDefault="00802E99" w:rsidP="00802E99">
      <w:pPr>
        <w:rPr>
          <w:rFonts w:ascii="Arial" w:hAnsi="Arial" w:cs="Arial"/>
          <w:color w:val="000000"/>
          <w:sz w:val="28"/>
          <w:szCs w:val="28"/>
        </w:rPr>
      </w:pPr>
      <w:r w:rsidRPr="00CF644F">
        <w:rPr>
          <w:rFonts w:ascii="Arial" w:hAnsi="Arial" w:cs="Arial"/>
          <w:b/>
          <w:color w:val="000000"/>
          <w:sz w:val="28"/>
          <w:szCs w:val="28"/>
        </w:rPr>
        <w:t>Costs</w:t>
      </w:r>
    </w:p>
    <w:p w14:paraId="04B06717" w14:textId="77777777" w:rsidR="00802E99" w:rsidRDefault="00802E99" w:rsidP="00802E99">
      <w:pPr>
        <w:rPr>
          <w:rFonts w:ascii="Arial" w:hAnsi="Arial" w:cs="Arial"/>
          <w:color w:val="000000"/>
          <w:szCs w:val="24"/>
        </w:rPr>
      </w:pPr>
      <w:r w:rsidRPr="00CF644F">
        <w:rPr>
          <w:rFonts w:ascii="Arial" w:hAnsi="Arial" w:cs="Arial"/>
          <w:color w:val="000000"/>
          <w:szCs w:val="24"/>
        </w:rPr>
        <w:t xml:space="preserve">RiskCover </w:t>
      </w:r>
      <w:r>
        <w:rPr>
          <w:rFonts w:ascii="Arial" w:hAnsi="Arial" w:cs="Arial"/>
          <w:color w:val="000000"/>
          <w:szCs w:val="24"/>
        </w:rPr>
        <w:t xml:space="preserve">made $223.4 million in claims payments during 2018, which was an increase on the </w:t>
      </w:r>
      <w:r w:rsidRPr="00CF644F">
        <w:rPr>
          <w:rFonts w:ascii="Arial" w:hAnsi="Arial" w:cs="Arial"/>
          <w:color w:val="000000"/>
          <w:szCs w:val="24"/>
        </w:rPr>
        <w:t xml:space="preserve">$205.9 million in </w:t>
      </w:r>
      <w:r>
        <w:rPr>
          <w:rFonts w:ascii="Arial" w:hAnsi="Arial" w:cs="Arial"/>
          <w:color w:val="000000"/>
          <w:szCs w:val="24"/>
        </w:rPr>
        <w:t xml:space="preserve">payments made in </w:t>
      </w:r>
      <w:r w:rsidRPr="00CF644F">
        <w:rPr>
          <w:rFonts w:ascii="Arial" w:hAnsi="Arial" w:cs="Arial"/>
          <w:color w:val="000000"/>
          <w:szCs w:val="24"/>
        </w:rPr>
        <w:t>201</w:t>
      </w:r>
      <w:r>
        <w:rPr>
          <w:rFonts w:ascii="Arial" w:hAnsi="Arial" w:cs="Arial"/>
          <w:color w:val="000000"/>
          <w:szCs w:val="24"/>
        </w:rPr>
        <w:t>7. Higher claim payments are a product of more claims being finalised in 2018. Workers’ compensation payments of $154.9 million were made in 2018.</w:t>
      </w:r>
    </w:p>
    <w:p w14:paraId="7E6F836A" w14:textId="77777777" w:rsidR="00802E99" w:rsidRDefault="00802E99" w:rsidP="00802E99">
      <w:pPr>
        <w:rPr>
          <w:rFonts w:ascii="Arial" w:hAnsi="Arial" w:cs="Arial"/>
          <w:color w:val="000000"/>
          <w:szCs w:val="24"/>
        </w:rPr>
      </w:pPr>
    </w:p>
    <w:p w14:paraId="17118434" w14:textId="77777777" w:rsidR="00802E99" w:rsidRPr="00CF644F" w:rsidRDefault="00802E99" w:rsidP="00802E99">
      <w:pPr>
        <w:rPr>
          <w:rFonts w:ascii="Arial" w:hAnsi="Arial" w:cs="Arial"/>
          <w:color w:val="000000"/>
          <w:szCs w:val="24"/>
        </w:rPr>
      </w:pPr>
      <w:r>
        <w:rPr>
          <w:rFonts w:ascii="Arial" w:hAnsi="Arial" w:cs="Arial"/>
          <w:color w:val="000000"/>
          <w:szCs w:val="24"/>
        </w:rPr>
        <w:t xml:space="preserve">While there are 111 agencies insured by the RiskCover Fund, the Education and General Government sectors (due to their size and scope of activities) lodge the majority of new workers’ compensation claims. </w:t>
      </w:r>
      <w:r w:rsidRPr="00483790">
        <w:rPr>
          <w:rFonts w:ascii="Arial" w:hAnsi="Arial" w:cs="Arial"/>
          <w:color w:val="000000"/>
          <w:szCs w:val="24"/>
        </w:rPr>
        <w:t>Each sector is made up of multiple agencies</w:t>
      </w:r>
      <w:r>
        <w:rPr>
          <w:rFonts w:ascii="Arial" w:hAnsi="Arial" w:cs="Arial"/>
          <w:color w:val="000000"/>
          <w:szCs w:val="24"/>
        </w:rPr>
        <w:t>.</w:t>
      </w:r>
    </w:p>
    <w:p w14:paraId="16097AC3" w14:textId="77777777" w:rsidR="00802E99" w:rsidRPr="00CF644F" w:rsidRDefault="00802E99" w:rsidP="00802E99">
      <w:pPr>
        <w:rPr>
          <w:rFonts w:ascii="Arial" w:hAnsi="Arial" w:cs="Arial"/>
          <w:color w:val="000000"/>
          <w:szCs w:val="24"/>
        </w:rPr>
      </w:pPr>
    </w:p>
    <w:p w14:paraId="04B74357" w14:textId="44106066" w:rsidR="00802E99" w:rsidRPr="00FC08D5" w:rsidRDefault="00802E99" w:rsidP="00802E99">
      <w:pPr>
        <w:rPr>
          <w:rFonts w:ascii="Arial" w:hAnsi="Arial" w:cs="Arial"/>
          <w:i/>
          <w:color w:val="000000"/>
          <w:szCs w:val="24"/>
        </w:rPr>
      </w:pPr>
      <w:r w:rsidRPr="00FC08D5">
        <w:rPr>
          <w:rFonts w:ascii="Arial" w:hAnsi="Arial" w:cs="Arial"/>
          <w:i/>
          <w:color w:val="000000"/>
          <w:szCs w:val="24"/>
        </w:rPr>
        <w:t>Graphic – 2018</w:t>
      </w:r>
      <w:r w:rsidR="00FC08D5" w:rsidRPr="00FC08D5">
        <w:rPr>
          <w:rFonts w:ascii="Arial" w:hAnsi="Arial" w:cs="Arial"/>
          <w:i/>
          <w:color w:val="000000"/>
          <w:szCs w:val="24"/>
        </w:rPr>
        <w:t xml:space="preserve"> Workers’ Compensation Costs by Government S</w:t>
      </w:r>
      <w:r w:rsidRPr="00FC08D5">
        <w:rPr>
          <w:rFonts w:ascii="Arial" w:hAnsi="Arial" w:cs="Arial"/>
          <w:i/>
          <w:color w:val="000000"/>
          <w:szCs w:val="24"/>
        </w:rPr>
        <w:t>ector</w:t>
      </w:r>
    </w:p>
    <w:p w14:paraId="059F1270" w14:textId="77777777" w:rsidR="00802E99" w:rsidRPr="00FC08D5" w:rsidRDefault="00802E99" w:rsidP="00802E99">
      <w:pPr>
        <w:rPr>
          <w:rFonts w:ascii="Arial" w:hAnsi="Arial" w:cs="Arial"/>
          <w:i/>
          <w:color w:val="000000"/>
          <w:szCs w:val="24"/>
        </w:rPr>
      </w:pPr>
    </w:p>
    <w:tbl>
      <w:tblPr>
        <w:tblW w:w="6540" w:type="dxa"/>
        <w:tblLook w:val="04A0" w:firstRow="1" w:lastRow="0" w:firstColumn="1" w:lastColumn="0" w:noHBand="0" w:noVBand="1"/>
      </w:tblPr>
      <w:tblGrid>
        <w:gridCol w:w="2060"/>
        <w:gridCol w:w="1480"/>
        <w:gridCol w:w="1630"/>
        <w:gridCol w:w="1460"/>
      </w:tblGrid>
      <w:tr w:rsidR="00802E99" w:rsidRPr="00FC08D5" w14:paraId="26DD3895" w14:textId="77777777" w:rsidTr="004046F0">
        <w:trPr>
          <w:trHeight w:val="630"/>
        </w:trPr>
        <w:tc>
          <w:tcPr>
            <w:tcW w:w="2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2FE25"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 </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1C2CB8C5"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Education</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7AB9238C"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General Government</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2B95A4BA"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Health</w:t>
            </w:r>
          </w:p>
        </w:tc>
      </w:tr>
      <w:tr w:rsidR="00802E99" w:rsidRPr="00FC08D5" w14:paraId="0467133A" w14:textId="77777777" w:rsidTr="004046F0">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FD06AC6"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New claims</w:t>
            </w:r>
          </w:p>
        </w:tc>
        <w:tc>
          <w:tcPr>
            <w:tcW w:w="1480" w:type="dxa"/>
            <w:tcBorders>
              <w:top w:val="nil"/>
              <w:left w:val="nil"/>
              <w:bottom w:val="single" w:sz="4" w:space="0" w:color="auto"/>
              <w:right w:val="single" w:sz="4" w:space="0" w:color="auto"/>
            </w:tcBorders>
            <w:shd w:val="clear" w:color="auto" w:fill="auto"/>
            <w:noWrap/>
            <w:vAlign w:val="bottom"/>
            <w:hideMark/>
          </w:tcPr>
          <w:p w14:paraId="499CDBB6"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1,901</w:t>
            </w:r>
          </w:p>
        </w:tc>
        <w:tc>
          <w:tcPr>
            <w:tcW w:w="1540" w:type="dxa"/>
            <w:tcBorders>
              <w:top w:val="nil"/>
              <w:left w:val="nil"/>
              <w:bottom w:val="single" w:sz="4" w:space="0" w:color="auto"/>
              <w:right w:val="single" w:sz="4" w:space="0" w:color="auto"/>
            </w:tcBorders>
            <w:shd w:val="clear" w:color="auto" w:fill="auto"/>
            <w:noWrap/>
            <w:vAlign w:val="bottom"/>
            <w:hideMark/>
          </w:tcPr>
          <w:p w14:paraId="21A5AE49"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1,596</w:t>
            </w:r>
          </w:p>
        </w:tc>
        <w:tc>
          <w:tcPr>
            <w:tcW w:w="1460" w:type="dxa"/>
            <w:tcBorders>
              <w:top w:val="nil"/>
              <w:left w:val="nil"/>
              <w:bottom w:val="single" w:sz="4" w:space="0" w:color="auto"/>
              <w:right w:val="single" w:sz="4" w:space="0" w:color="auto"/>
            </w:tcBorders>
            <w:shd w:val="clear" w:color="auto" w:fill="auto"/>
            <w:noWrap/>
            <w:vAlign w:val="bottom"/>
            <w:hideMark/>
          </w:tcPr>
          <w:p w14:paraId="6C1BDFD6"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1,207</w:t>
            </w:r>
          </w:p>
        </w:tc>
      </w:tr>
      <w:tr w:rsidR="00802E99" w:rsidRPr="00FC08D5" w14:paraId="532FDA68" w14:textId="77777777" w:rsidTr="004046F0">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1593C91"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Payments</w:t>
            </w:r>
          </w:p>
        </w:tc>
        <w:tc>
          <w:tcPr>
            <w:tcW w:w="1480" w:type="dxa"/>
            <w:tcBorders>
              <w:top w:val="nil"/>
              <w:left w:val="nil"/>
              <w:bottom w:val="single" w:sz="4" w:space="0" w:color="auto"/>
              <w:right w:val="single" w:sz="4" w:space="0" w:color="auto"/>
            </w:tcBorders>
            <w:shd w:val="clear" w:color="auto" w:fill="auto"/>
            <w:noWrap/>
            <w:vAlign w:val="bottom"/>
            <w:hideMark/>
          </w:tcPr>
          <w:p w14:paraId="57752565"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$39.9m</w:t>
            </w:r>
          </w:p>
        </w:tc>
        <w:tc>
          <w:tcPr>
            <w:tcW w:w="1540" w:type="dxa"/>
            <w:tcBorders>
              <w:top w:val="nil"/>
              <w:left w:val="nil"/>
              <w:bottom w:val="single" w:sz="4" w:space="0" w:color="auto"/>
              <w:right w:val="single" w:sz="4" w:space="0" w:color="auto"/>
            </w:tcBorders>
            <w:shd w:val="clear" w:color="auto" w:fill="auto"/>
            <w:noWrap/>
            <w:vAlign w:val="bottom"/>
            <w:hideMark/>
          </w:tcPr>
          <w:p w14:paraId="44287FAA"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$61.4m</w:t>
            </w:r>
          </w:p>
        </w:tc>
        <w:tc>
          <w:tcPr>
            <w:tcW w:w="1460" w:type="dxa"/>
            <w:tcBorders>
              <w:top w:val="nil"/>
              <w:left w:val="nil"/>
              <w:bottom w:val="single" w:sz="4" w:space="0" w:color="auto"/>
              <w:right w:val="single" w:sz="4" w:space="0" w:color="auto"/>
            </w:tcBorders>
            <w:shd w:val="clear" w:color="auto" w:fill="auto"/>
            <w:noWrap/>
            <w:vAlign w:val="bottom"/>
            <w:hideMark/>
          </w:tcPr>
          <w:p w14:paraId="60B6783E"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$53.6m</w:t>
            </w:r>
          </w:p>
        </w:tc>
      </w:tr>
      <w:tr w:rsidR="00802E99" w:rsidRPr="00CF644F" w14:paraId="57D6243C" w14:textId="77777777" w:rsidTr="004046F0">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DDAB998"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Paid days lost</w:t>
            </w:r>
          </w:p>
        </w:tc>
        <w:tc>
          <w:tcPr>
            <w:tcW w:w="1480" w:type="dxa"/>
            <w:tcBorders>
              <w:top w:val="nil"/>
              <w:left w:val="nil"/>
              <w:bottom w:val="single" w:sz="4" w:space="0" w:color="auto"/>
              <w:right w:val="single" w:sz="4" w:space="0" w:color="auto"/>
            </w:tcBorders>
            <w:shd w:val="clear" w:color="auto" w:fill="auto"/>
            <w:noWrap/>
            <w:vAlign w:val="bottom"/>
            <w:hideMark/>
          </w:tcPr>
          <w:p w14:paraId="7B0EF90C"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61,954</w:t>
            </w:r>
          </w:p>
        </w:tc>
        <w:tc>
          <w:tcPr>
            <w:tcW w:w="1540" w:type="dxa"/>
            <w:tcBorders>
              <w:top w:val="nil"/>
              <w:left w:val="nil"/>
              <w:bottom w:val="single" w:sz="4" w:space="0" w:color="auto"/>
              <w:right w:val="single" w:sz="4" w:space="0" w:color="auto"/>
            </w:tcBorders>
            <w:shd w:val="clear" w:color="auto" w:fill="auto"/>
            <w:noWrap/>
            <w:vAlign w:val="bottom"/>
            <w:hideMark/>
          </w:tcPr>
          <w:p w14:paraId="087532E1"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81,050</w:t>
            </w:r>
          </w:p>
        </w:tc>
        <w:tc>
          <w:tcPr>
            <w:tcW w:w="1460" w:type="dxa"/>
            <w:tcBorders>
              <w:top w:val="nil"/>
              <w:left w:val="nil"/>
              <w:bottom w:val="single" w:sz="4" w:space="0" w:color="auto"/>
              <w:right w:val="single" w:sz="4" w:space="0" w:color="auto"/>
            </w:tcBorders>
            <w:shd w:val="clear" w:color="auto" w:fill="auto"/>
            <w:noWrap/>
            <w:vAlign w:val="bottom"/>
            <w:hideMark/>
          </w:tcPr>
          <w:p w14:paraId="132D9C69" w14:textId="77777777" w:rsidR="00802E99" w:rsidRPr="00CF644F"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78,276</w:t>
            </w:r>
          </w:p>
        </w:tc>
      </w:tr>
    </w:tbl>
    <w:p w14:paraId="4D390590" w14:textId="77777777" w:rsidR="00802E99" w:rsidRDefault="00802E99" w:rsidP="00802E99">
      <w:pPr>
        <w:rPr>
          <w:rFonts w:ascii="Arial" w:hAnsi="Arial" w:cs="Arial"/>
          <w:color w:val="000000"/>
          <w:szCs w:val="24"/>
        </w:rPr>
      </w:pPr>
    </w:p>
    <w:p w14:paraId="1F973124" w14:textId="77777777" w:rsidR="00802E99" w:rsidRPr="00EB058C" w:rsidRDefault="00802E99" w:rsidP="00802E99">
      <w:pPr>
        <w:rPr>
          <w:rFonts w:ascii="Arial" w:hAnsi="Arial" w:cs="Arial"/>
          <w:color w:val="000000"/>
          <w:szCs w:val="24"/>
        </w:rPr>
      </w:pPr>
      <w:r w:rsidRPr="00EB058C">
        <w:rPr>
          <w:rFonts w:ascii="Arial" w:hAnsi="Arial" w:cs="Arial"/>
          <w:color w:val="000000"/>
          <w:szCs w:val="24"/>
        </w:rPr>
        <w:t>The estimated average cost per new claim during 2018 for the education sector ($21,000) was considerabl</w:t>
      </w:r>
      <w:r>
        <w:rPr>
          <w:rFonts w:ascii="Arial" w:hAnsi="Arial" w:cs="Arial"/>
          <w:color w:val="000000"/>
          <w:szCs w:val="24"/>
        </w:rPr>
        <w:t>y lower when compared to the $44,5</w:t>
      </w:r>
      <w:r w:rsidRPr="00EB058C">
        <w:rPr>
          <w:rFonts w:ascii="Arial" w:hAnsi="Arial" w:cs="Arial"/>
          <w:color w:val="000000"/>
          <w:szCs w:val="24"/>
        </w:rPr>
        <w:t>00 for the health sector and $38,500 for the general government.</w:t>
      </w:r>
      <w:r>
        <w:rPr>
          <w:rFonts w:ascii="Arial" w:hAnsi="Arial" w:cs="Arial"/>
          <w:color w:val="000000"/>
          <w:szCs w:val="24"/>
        </w:rPr>
        <w:t xml:space="preserve"> The e</w:t>
      </w:r>
      <w:r w:rsidRPr="00BA11DD">
        <w:rPr>
          <w:rFonts w:ascii="Arial" w:hAnsi="Arial" w:cs="Arial"/>
          <w:color w:val="000000"/>
          <w:szCs w:val="24"/>
        </w:rPr>
        <w:t>ducation</w:t>
      </w:r>
      <w:r>
        <w:rPr>
          <w:rFonts w:ascii="Arial" w:hAnsi="Arial" w:cs="Arial"/>
          <w:color w:val="000000"/>
          <w:szCs w:val="24"/>
        </w:rPr>
        <w:t xml:space="preserve"> sector</w:t>
      </w:r>
      <w:r w:rsidRPr="00BA11DD">
        <w:rPr>
          <w:rFonts w:ascii="Arial" w:hAnsi="Arial" w:cs="Arial"/>
          <w:color w:val="000000"/>
          <w:szCs w:val="24"/>
        </w:rPr>
        <w:t xml:space="preserve"> has a</w:t>
      </w:r>
      <w:r>
        <w:rPr>
          <w:rFonts w:ascii="Arial" w:hAnsi="Arial" w:cs="Arial"/>
          <w:color w:val="000000"/>
          <w:szCs w:val="24"/>
        </w:rPr>
        <w:t xml:space="preserve"> low average cost due to a</w:t>
      </w:r>
      <w:r w:rsidRPr="00BA11DD">
        <w:rPr>
          <w:rFonts w:ascii="Arial" w:hAnsi="Arial" w:cs="Arial"/>
          <w:color w:val="000000"/>
          <w:szCs w:val="24"/>
        </w:rPr>
        <w:t xml:space="preserve"> lower proportion of high cost mental stress and body stress claims within its portfolio compared to the other two se</w:t>
      </w:r>
      <w:r>
        <w:rPr>
          <w:rFonts w:ascii="Arial" w:hAnsi="Arial" w:cs="Arial"/>
          <w:color w:val="000000"/>
          <w:szCs w:val="24"/>
        </w:rPr>
        <w:t>ctors</w:t>
      </w:r>
      <w:r w:rsidRPr="00BA11DD">
        <w:rPr>
          <w:rFonts w:ascii="Arial" w:hAnsi="Arial" w:cs="Arial"/>
          <w:color w:val="000000"/>
          <w:szCs w:val="24"/>
        </w:rPr>
        <w:t>.</w:t>
      </w:r>
    </w:p>
    <w:p w14:paraId="06450507" w14:textId="77777777" w:rsidR="00802E99" w:rsidRPr="00EB058C" w:rsidRDefault="00802E99" w:rsidP="00802E99">
      <w:pPr>
        <w:rPr>
          <w:rFonts w:ascii="Arial" w:hAnsi="Arial" w:cs="Arial"/>
          <w:color w:val="000000"/>
          <w:szCs w:val="24"/>
        </w:rPr>
      </w:pPr>
    </w:p>
    <w:p w14:paraId="20DE93F1" w14:textId="77777777" w:rsidR="00802E99" w:rsidRPr="00EB058C" w:rsidRDefault="00802E99" w:rsidP="00802E99">
      <w:pPr>
        <w:rPr>
          <w:rFonts w:ascii="Arial" w:hAnsi="Arial" w:cs="Arial"/>
          <w:color w:val="000000"/>
          <w:szCs w:val="24"/>
        </w:rPr>
      </w:pPr>
      <w:r w:rsidRPr="00EB058C">
        <w:rPr>
          <w:rFonts w:ascii="Arial" w:hAnsi="Arial" w:cs="Arial"/>
          <w:color w:val="000000"/>
          <w:szCs w:val="24"/>
        </w:rPr>
        <w:t xml:space="preserve">Higher average wages paid to health professionals and challenges returning workers to pre-injury duties contribute to the higher average claims cost in the health sector.  </w:t>
      </w:r>
    </w:p>
    <w:p w14:paraId="15DE5973" w14:textId="77777777" w:rsidR="00802E99" w:rsidRPr="00EB058C" w:rsidRDefault="00802E99" w:rsidP="00802E99">
      <w:pPr>
        <w:rPr>
          <w:rFonts w:ascii="Arial" w:hAnsi="Arial" w:cs="Arial"/>
          <w:color w:val="000000"/>
          <w:szCs w:val="24"/>
        </w:rPr>
      </w:pPr>
    </w:p>
    <w:p w14:paraId="0E1A3C8A" w14:textId="77777777" w:rsidR="00802E99" w:rsidRDefault="00802E99" w:rsidP="00802E99">
      <w:pPr>
        <w:rPr>
          <w:rFonts w:ascii="Arial" w:hAnsi="Arial" w:cs="Arial"/>
          <w:color w:val="000000"/>
          <w:szCs w:val="24"/>
        </w:rPr>
      </w:pPr>
      <w:r w:rsidRPr="00EB058C">
        <w:rPr>
          <w:rFonts w:ascii="Arial" w:hAnsi="Arial" w:cs="Arial"/>
          <w:color w:val="000000"/>
          <w:szCs w:val="24"/>
        </w:rPr>
        <w:t xml:space="preserve">The average cost per claim in the general government sector is higher than the education sector due to the type of services delivered by </w:t>
      </w:r>
      <w:r>
        <w:rPr>
          <w:rFonts w:ascii="Arial" w:hAnsi="Arial" w:cs="Arial"/>
          <w:color w:val="000000"/>
          <w:szCs w:val="24"/>
        </w:rPr>
        <w:t xml:space="preserve">staff within </w:t>
      </w:r>
      <w:r w:rsidRPr="00EB058C">
        <w:rPr>
          <w:rFonts w:ascii="Arial" w:hAnsi="Arial" w:cs="Arial"/>
          <w:color w:val="000000"/>
          <w:szCs w:val="24"/>
        </w:rPr>
        <w:t>agencies in that sector, which include prison officers, firefighters and providers of child protection and disability services.</w:t>
      </w:r>
    </w:p>
    <w:p w14:paraId="1F91309C" w14:textId="77777777" w:rsidR="00802E99" w:rsidRDefault="00802E99" w:rsidP="00802E99">
      <w:pPr>
        <w:rPr>
          <w:rFonts w:ascii="Arial" w:hAnsi="Arial" w:cs="Arial"/>
          <w:color w:val="000000"/>
          <w:szCs w:val="24"/>
        </w:rPr>
      </w:pPr>
    </w:p>
    <w:p w14:paraId="2002862C" w14:textId="77777777" w:rsidR="00802E99" w:rsidRDefault="00802E99" w:rsidP="00802E99">
      <w:pPr>
        <w:rPr>
          <w:rFonts w:ascii="Arial" w:hAnsi="Arial" w:cs="Arial"/>
          <w:color w:val="000000"/>
          <w:szCs w:val="24"/>
        </w:rPr>
      </w:pPr>
      <w:r w:rsidRPr="0074269A">
        <w:rPr>
          <w:rFonts w:ascii="Arial" w:hAnsi="Arial" w:cs="Arial"/>
          <w:color w:val="000000"/>
          <w:szCs w:val="24"/>
        </w:rPr>
        <w:t>The graphic</w:t>
      </w:r>
      <w:r>
        <w:rPr>
          <w:rFonts w:ascii="Arial" w:hAnsi="Arial" w:cs="Arial"/>
          <w:color w:val="000000"/>
          <w:szCs w:val="24"/>
        </w:rPr>
        <w:t xml:space="preserve"> also</w:t>
      </w:r>
      <w:r w:rsidRPr="0074269A">
        <w:rPr>
          <w:rFonts w:ascii="Arial" w:hAnsi="Arial" w:cs="Arial"/>
          <w:color w:val="000000"/>
          <w:szCs w:val="24"/>
        </w:rPr>
        <w:t xml:space="preserve"> illustrates that 221,280 days were lost to government agencies due to </w:t>
      </w:r>
      <w:r>
        <w:rPr>
          <w:rFonts w:ascii="Arial" w:hAnsi="Arial" w:cs="Arial"/>
          <w:color w:val="000000"/>
          <w:szCs w:val="24"/>
        </w:rPr>
        <w:t>staff absences following</w:t>
      </w:r>
      <w:r w:rsidRPr="0074269A">
        <w:rPr>
          <w:rFonts w:ascii="Arial" w:hAnsi="Arial" w:cs="Arial"/>
          <w:color w:val="000000"/>
          <w:szCs w:val="24"/>
        </w:rPr>
        <w:t xml:space="preserve"> a workplace injury in 2018.</w:t>
      </w:r>
      <w:r>
        <w:rPr>
          <w:rFonts w:ascii="Arial" w:hAnsi="Arial" w:cs="Arial"/>
          <w:color w:val="000000"/>
          <w:szCs w:val="24"/>
        </w:rPr>
        <w:t xml:space="preserve"> This is an increase on the number of days lost in 2017 (213,907). In 2018, this represented 962 full-time equivalent employees being absent from work for the year due to an injury sustained at work. </w:t>
      </w:r>
    </w:p>
    <w:p w14:paraId="1BE213FD" w14:textId="77777777" w:rsidR="00802E99" w:rsidRDefault="00802E99" w:rsidP="00802E99">
      <w:pPr>
        <w:rPr>
          <w:rFonts w:ascii="Arial" w:hAnsi="Arial" w:cs="Arial"/>
          <w:color w:val="000000"/>
          <w:szCs w:val="24"/>
        </w:rPr>
      </w:pPr>
    </w:p>
    <w:p w14:paraId="4B2587C2" w14:textId="77777777" w:rsidR="00802E99" w:rsidRPr="00CF644F" w:rsidRDefault="00802E99" w:rsidP="00802E99">
      <w:pPr>
        <w:rPr>
          <w:rFonts w:ascii="Arial" w:hAnsi="Arial" w:cs="Arial"/>
          <w:color w:val="000000"/>
          <w:szCs w:val="24"/>
        </w:rPr>
      </w:pPr>
      <w:r w:rsidRPr="00CF644F">
        <w:rPr>
          <w:rFonts w:ascii="Arial" w:hAnsi="Arial" w:cs="Arial"/>
          <w:color w:val="000000"/>
          <w:szCs w:val="24"/>
        </w:rPr>
        <w:t>The Insurance Commission incurred $</w:t>
      </w:r>
      <w:r>
        <w:rPr>
          <w:rFonts w:ascii="Arial" w:hAnsi="Arial" w:cs="Arial"/>
          <w:color w:val="000000"/>
          <w:szCs w:val="24"/>
        </w:rPr>
        <w:t>200.6</w:t>
      </w:r>
      <w:r w:rsidRPr="00CF644F">
        <w:rPr>
          <w:rFonts w:ascii="Arial" w:hAnsi="Arial" w:cs="Arial"/>
          <w:color w:val="000000"/>
          <w:szCs w:val="24"/>
        </w:rPr>
        <w:t xml:space="preserve"> million in costs associated with workers’ compensation claims from injured public sector workers that were finalised in 201</w:t>
      </w:r>
      <w:r>
        <w:rPr>
          <w:rFonts w:ascii="Arial" w:hAnsi="Arial" w:cs="Arial"/>
          <w:color w:val="000000"/>
          <w:szCs w:val="24"/>
        </w:rPr>
        <w:t>8</w:t>
      </w:r>
      <w:r w:rsidRPr="00CF644F">
        <w:rPr>
          <w:rFonts w:ascii="Arial" w:hAnsi="Arial" w:cs="Arial"/>
          <w:color w:val="000000"/>
          <w:szCs w:val="24"/>
        </w:rPr>
        <w:t xml:space="preserve">. </w:t>
      </w:r>
      <w:r w:rsidRPr="00E01121">
        <w:rPr>
          <w:rFonts w:ascii="Arial" w:hAnsi="Arial" w:cs="Arial"/>
          <w:color w:val="000000"/>
          <w:szCs w:val="24"/>
        </w:rPr>
        <w:t>Twenty-nine percent of all claims finalised were within the cost band of $0 - $1,000 but accounted for only 0.3% of all claims costs.</w:t>
      </w:r>
      <w:r>
        <w:rPr>
          <w:rFonts w:ascii="Arial" w:hAnsi="Arial" w:cs="Arial"/>
          <w:color w:val="000000"/>
          <w:szCs w:val="24"/>
        </w:rPr>
        <w:t xml:space="preserve"> Claims with a total cost between $200,000 and $500,000 represent the largest proportion of costs incurred on claims finalised during the year (see table over the page).</w:t>
      </w:r>
    </w:p>
    <w:p w14:paraId="79D5F5D0" w14:textId="77777777" w:rsidR="00802E99" w:rsidRPr="00CF644F" w:rsidRDefault="00802E99" w:rsidP="00802E99">
      <w:pPr>
        <w:rPr>
          <w:rFonts w:ascii="Arial" w:hAnsi="Arial" w:cs="Arial"/>
          <w:i/>
          <w:color w:val="000000"/>
          <w:szCs w:val="24"/>
        </w:rPr>
      </w:pPr>
    </w:p>
    <w:p w14:paraId="204432B0" w14:textId="70070B47" w:rsidR="00802E99" w:rsidRPr="00FC08D5" w:rsidRDefault="00802E99" w:rsidP="00802E99">
      <w:pPr>
        <w:rPr>
          <w:rFonts w:ascii="Arial" w:hAnsi="Arial" w:cs="Arial"/>
          <w:i/>
          <w:color w:val="000000"/>
          <w:szCs w:val="24"/>
        </w:rPr>
      </w:pPr>
      <w:r w:rsidRPr="00FC08D5">
        <w:rPr>
          <w:rFonts w:ascii="Arial" w:hAnsi="Arial" w:cs="Arial"/>
          <w:i/>
          <w:color w:val="000000"/>
          <w:szCs w:val="24"/>
        </w:rPr>
        <w:lastRenderedPageBreak/>
        <w:t xml:space="preserve">Graph – Finalised 2018 </w:t>
      </w:r>
      <w:r w:rsidR="00FC08D5" w:rsidRPr="00FC08D5">
        <w:rPr>
          <w:rFonts w:ascii="Arial" w:hAnsi="Arial" w:cs="Arial"/>
          <w:i/>
          <w:color w:val="000000"/>
          <w:szCs w:val="24"/>
        </w:rPr>
        <w:t>Workers’ Compensation Claims by Cost B</w:t>
      </w:r>
      <w:r w:rsidRPr="00FC08D5">
        <w:rPr>
          <w:rFonts w:ascii="Arial" w:hAnsi="Arial" w:cs="Arial"/>
          <w:i/>
          <w:color w:val="000000"/>
          <w:szCs w:val="24"/>
        </w:rPr>
        <w:t>and</w:t>
      </w:r>
    </w:p>
    <w:p w14:paraId="735942CE" w14:textId="77777777" w:rsidR="00802E99" w:rsidRPr="00FC08D5" w:rsidRDefault="00802E99" w:rsidP="00802E99">
      <w:pPr>
        <w:rPr>
          <w:rFonts w:ascii="Arial" w:hAnsi="Arial" w:cs="Arial"/>
          <w:i/>
          <w:color w:val="000000"/>
          <w:szCs w:val="24"/>
        </w:rPr>
      </w:pPr>
    </w:p>
    <w:tbl>
      <w:tblPr>
        <w:tblW w:w="9592" w:type="dxa"/>
        <w:tblLook w:val="04A0" w:firstRow="1" w:lastRow="0" w:firstColumn="1" w:lastColumn="0" w:noHBand="0" w:noVBand="1"/>
      </w:tblPr>
      <w:tblGrid>
        <w:gridCol w:w="2680"/>
        <w:gridCol w:w="1920"/>
        <w:gridCol w:w="2360"/>
        <w:gridCol w:w="2632"/>
      </w:tblGrid>
      <w:tr w:rsidR="00802E99" w:rsidRPr="00FC08D5" w14:paraId="3B7B19CF" w14:textId="77777777" w:rsidTr="004046F0">
        <w:trPr>
          <w:trHeight w:val="31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4D3DE"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rPr>
              <w:t>Band</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120CF61"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rPr>
              <w:t>Total Claims</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14:paraId="52C08D03"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rPr>
              <w:t>Total Costs</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3FEE7E96"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rPr>
              <w:t>Average Cost of Claims</w:t>
            </w:r>
          </w:p>
        </w:tc>
      </w:tr>
      <w:tr w:rsidR="00802E99" w:rsidRPr="00FC08D5" w14:paraId="3230C122"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C99E174"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$0 - $1,000</w:t>
            </w:r>
          </w:p>
        </w:tc>
        <w:tc>
          <w:tcPr>
            <w:tcW w:w="1920" w:type="dxa"/>
            <w:tcBorders>
              <w:top w:val="nil"/>
              <w:left w:val="nil"/>
              <w:bottom w:val="single" w:sz="4" w:space="0" w:color="auto"/>
              <w:right w:val="single" w:sz="4" w:space="0" w:color="auto"/>
            </w:tcBorders>
            <w:shd w:val="clear" w:color="auto" w:fill="auto"/>
            <w:noWrap/>
            <w:vAlign w:val="bottom"/>
            <w:hideMark/>
          </w:tcPr>
          <w:p w14:paraId="366B1561"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1,717</w:t>
            </w:r>
          </w:p>
        </w:tc>
        <w:tc>
          <w:tcPr>
            <w:tcW w:w="2360" w:type="dxa"/>
            <w:tcBorders>
              <w:top w:val="nil"/>
              <w:left w:val="nil"/>
              <w:bottom w:val="single" w:sz="4" w:space="0" w:color="auto"/>
              <w:right w:val="single" w:sz="4" w:space="0" w:color="auto"/>
            </w:tcBorders>
            <w:shd w:val="clear" w:color="auto" w:fill="auto"/>
            <w:noWrap/>
            <w:vAlign w:val="bottom"/>
            <w:hideMark/>
          </w:tcPr>
          <w:p w14:paraId="451FF5FE"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671,367 </w:t>
            </w:r>
          </w:p>
        </w:tc>
        <w:tc>
          <w:tcPr>
            <w:tcW w:w="2632" w:type="dxa"/>
            <w:tcBorders>
              <w:top w:val="nil"/>
              <w:left w:val="nil"/>
              <w:bottom w:val="single" w:sz="4" w:space="0" w:color="auto"/>
              <w:right w:val="single" w:sz="4" w:space="0" w:color="auto"/>
            </w:tcBorders>
            <w:shd w:val="clear" w:color="auto" w:fill="auto"/>
            <w:noWrap/>
            <w:vAlign w:val="bottom"/>
            <w:hideMark/>
          </w:tcPr>
          <w:p w14:paraId="762CDD3F"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391 </w:t>
            </w:r>
          </w:p>
        </w:tc>
      </w:tr>
      <w:tr w:rsidR="00802E99" w:rsidRPr="00FC08D5" w14:paraId="0BF368D2"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36E09F3"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$1,001 - $2,000</w:t>
            </w:r>
          </w:p>
        </w:tc>
        <w:tc>
          <w:tcPr>
            <w:tcW w:w="1920" w:type="dxa"/>
            <w:tcBorders>
              <w:top w:val="nil"/>
              <w:left w:val="nil"/>
              <w:bottom w:val="single" w:sz="4" w:space="0" w:color="auto"/>
              <w:right w:val="single" w:sz="4" w:space="0" w:color="auto"/>
            </w:tcBorders>
            <w:shd w:val="clear" w:color="auto" w:fill="auto"/>
            <w:noWrap/>
            <w:vAlign w:val="bottom"/>
            <w:hideMark/>
          </w:tcPr>
          <w:p w14:paraId="7F806586"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629</w:t>
            </w:r>
          </w:p>
        </w:tc>
        <w:tc>
          <w:tcPr>
            <w:tcW w:w="2360" w:type="dxa"/>
            <w:tcBorders>
              <w:top w:val="nil"/>
              <w:left w:val="nil"/>
              <w:bottom w:val="single" w:sz="4" w:space="0" w:color="auto"/>
              <w:right w:val="single" w:sz="4" w:space="0" w:color="auto"/>
            </w:tcBorders>
            <w:shd w:val="clear" w:color="auto" w:fill="auto"/>
            <w:noWrap/>
            <w:vAlign w:val="bottom"/>
            <w:hideMark/>
          </w:tcPr>
          <w:p w14:paraId="7BC3B2FF"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912,045 </w:t>
            </w:r>
          </w:p>
        </w:tc>
        <w:tc>
          <w:tcPr>
            <w:tcW w:w="2632" w:type="dxa"/>
            <w:tcBorders>
              <w:top w:val="nil"/>
              <w:left w:val="nil"/>
              <w:bottom w:val="single" w:sz="4" w:space="0" w:color="auto"/>
              <w:right w:val="single" w:sz="4" w:space="0" w:color="auto"/>
            </w:tcBorders>
            <w:shd w:val="clear" w:color="auto" w:fill="auto"/>
            <w:noWrap/>
            <w:vAlign w:val="bottom"/>
            <w:hideMark/>
          </w:tcPr>
          <w:p w14:paraId="1DB6E171"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1,450 </w:t>
            </w:r>
          </w:p>
        </w:tc>
      </w:tr>
      <w:tr w:rsidR="00802E99" w:rsidRPr="00FC08D5" w14:paraId="6E1CF162"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408FFAE"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$2,001 - $5,000</w:t>
            </w:r>
          </w:p>
        </w:tc>
        <w:tc>
          <w:tcPr>
            <w:tcW w:w="1920" w:type="dxa"/>
            <w:tcBorders>
              <w:top w:val="nil"/>
              <w:left w:val="nil"/>
              <w:bottom w:val="single" w:sz="4" w:space="0" w:color="auto"/>
              <w:right w:val="single" w:sz="4" w:space="0" w:color="auto"/>
            </w:tcBorders>
            <w:shd w:val="clear" w:color="auto" w:fill="auto"/>
            <w:noWrap/>
            <w:vAlign w:val="bottom"/>
            <w:hideMark/>
          </w:tcPr>
          <w:p w14:paraId="38458350"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752</w:t>
            </w:r>
          </w:p>
        </w:tc>
        <w:tc>
          <w:tcPr>
            <w:tcW w:w="2360" w:type="dxa"/>
            <w:tcBorders>
              <w:top w:val="nil"/>
              <w:left w:val="nil"/>
              <w:bottom w:val="single" w:sz="4" w:space="0" w:color="auto"/>
              <w:right w:val="single" w:sz="4" w:space="0" w:color="auto"/>
            </w:tcBorders>
            <w:shd w:val="clear" w:color="auto" w:fill="auto"/>
            <w:noWrap/>
            <w:vAlign w:val="bottom"/>
            <w:hideMark/>
          </w:tcPr>
          <w:p w14:paraId="5DCB6A61"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2,379,915 </w:t>
            </w:r>
          </w:p>
        </w:tc>
        <w:tc>
          <w:tcPr>
            <w:tcW w:w="2632" w:type="dxa"/>
            <w:tcBorders>
              <w:top w:val="nil"/>
              <w:left w:val="nil"/>
              <w:bottom w:val="single" w:sz="4" w:space="0" w:color="auto"/>
              <w:right w:val="single" w:sz="4" w:space="0" w:color="auto"/>
            </w:tcBorders>
            <w:shd w:val="clear" w:color="auto" w:fill="auto"/>
            <w:noWrap/>
            <w:vAlign w:val="bottom"/>
            <w:hideMark/>
          </w:tcPr>
          <w:p w14:paraId="5FBCEEAB"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3,165 </w:t>
            </w:r>
          </w:p>
        </w:tc>
      </w:tr>
      <w:tr w:rsidR="00802E99" w:rsidRPr="00FC08D5" w14:paraId="00760B2D"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7651F94"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$5,001 - $10,000</w:t>
            </w:r>
          </w:p>
        </w:tc>
        <w:tc>
          <w:tcPr>
            <w:tcW w:w="1920" w:type="dxa"/>
            <w:tcBorders>
              <w:top w:val="nil"/>
              <w:left w:val="nil"/>
              <w:bottom w:val="single" w:sz="4" w:space="0" w:color="auto"/>
              <w:right w:val="single" w:sz="4" w:space="0" w:color="auto"/>
            </w:tcBorders>
            <w:shd w:val="clear" w:color="auto" w:fill="auto"/>
            <w:noWrap/>
            <w:vAlign w:val="bottom"/>
            <w:hideMark/>
          </w:tcPr>
          <w:p w14:paraId="2D796F05"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508</w:t>
            </w:r>
          </w:p>
        </w:tc>
        <w:tc>
          <w:tcPr>
            <w:tcW w:w="2360" w:type="dxa"/>
            <w:tcBorders>
              <w:top w:val="nil"/>
              <w:left w:val="nil"/>
              <w:bottom w:val="single" w:sz="4" w:space="0" w:color="auto"/>
              <w:right w:val="single" w:sz="4" w:space="0" w:color="auto"/>
            </w:tcBorders>
            <w:shd w:val="clear" w:color="auto" w:fill="auto"/>
            <w:noWrap/>
            <w:vAlign w:val="bottom"/>
            <w:hideMark/>
          </w:tcPr>
          <w:p w14:paraId="26A4EF21"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3,656,437 </w:t>
            </w:r>
          </w:p>
        </w:tc>
        <w:tc>
          <w:tcPr>
            <w:tcW w:w="2632" w:type="dxa"/>
            <w:tcBorders>
              <w:top w:val="nil"/>
              <w:left w:val="nil"/>
              <w:bottom w:val="single" w:sz="4" w:space="0" w:color="auto"/>
              <w:right w:val="single" w:sz="4" w:space="0" w:color="auto"/>
            </w:tcBorders>
            <w:shd w:val="clear" w:color="auto" w:fill="auto"/>
            <w:noWrap/>
            <w:vAlign w:val="bottom"/>
            <w:hideMark/>
          </w:tcPr>
          <w:p w14:paraId="20769670"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7,198 </w:t>
            </w:r>
          </w:p>
        </w:tc>
      </w:tr>
      <w:tr w:rsidR="00802E99" w:rsidRPr="00FC08D5" w14:paraId="3B9A02EC"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B977193"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$10,001 - $20,000</w:t>
            </w:r>
          </w:p>
        </w:tc>
        <w:tc>
          <w:tcPr>
            <w:tcW w:w="1920" w:type="dxa"/>
            <w:tcBorders>
              <w:top w:val="nil"/>
              <w:left w:val="nil"/>
              <w:bottom w:val="single" w:sz="4" w:space="0" w:color="auto"/>
              <w:right w:val="single" w:sz="4" w:space="0" w:color="auto"/>
            </w:tcBorders>
            <w:shd w:val="clear" w:color="auto" w:fill="auto"/>
            <w:noWrap/>
            <w:vAlign w:val="bottom"/>
            <w:hideMark/>
          </w:tcPr>
          <w:p w14:paraId="0BECDF09"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485</w:t>
            </w:r>
          </w:p>
        </w:tc>
        <w:tc>
          <w:tcPr>
            <w:tcW w:w="2360" w:type="dxa"/>
            <w:tcBorders>
              <w:top w:val="nil"/>
              <w:left w:val="nil"/>
              <w:bottom w:val="single" w:sz="4" w:space="0" w:color="auto"/>
              <w:right w:val="single" w:sz="4" w:space="0" w:color="auto"/>
            </w:tcBorders>
            <w:shd w:val="clear" w:color="auto" w:fill="auto"/>
            <w:noWrap/>
            <w:vAlign w:val="bottom"/>
            <w:hideMark/>
          </w:tcPr>
          <w:p w14:paraId="193517EA"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6,916,264 </w:t>
            </w:r>
          </w:p>
        </w:tc>
        <w:tc>
          <w:tcPr>
            <w:tcW w:w="2632" w:type="dxa"/>
            <w:tcBorders>
              <w:top w:val="nil"/>
              <w:left w:val="nil"/>
              <w:bottom w:val="single" w:sz="4" w:space="0" w:color="auto"/>
              <w:right w:val="single" w:sz="4" w:space="0" w:color="auto"/>
            </w:tcBorders>
            <w:shd w:val="clear" w:color="auto" w:fill="auto"/>
            <w:noWrap/>
            <w:vAlign w:val="bottom"/>
            <w:hideMark/>
          </w:tcPr>
          <w:p w14:paraId="24E335F7"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14,260 </w:t>
            </w:r>
          </w:p>
        </w:tc>
      </w:tr>
      <w:tr w:rsidR="00802E99" w:rsidRPr="00FC08D5" w14:paraId="375309B1"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E6EE86F"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$20,001 - $50,000</w:t>
            </w:r>
          </w:p>
        </w:tc>
        <w:tc>
          <w:tcPr>
            <w:tcW w:w="1920" w:type="dxa"/>
            <w:tcBorders>
              <w:top w:val="nil"/>
              <w:left w:val="nil"/>
              <w:bottom w:val="single" w:sz="4" w:space="0" w:color="auto"/>
              <w:right w:val="single" w:sz="4" w:space="0" w:color="auto"/>
            </w:tcBorders>
            <w:shd w:val="clear" w:color="auto" w:fill="auto"/>
            <w:noWrap/>
            <w:vAlign w:val="bottom"/>
            <w:hideMark/>
          </w:tcPr>
          <w:p w14:paraId="1FD7B5DB"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663</w:t>
            </w:r>
          </w:p>
        </w:tc>
        <w:tc>
          <w:tcPr>
            <w:tcW w:w="2360" w:type="dxa"/>
            <w:tcBorders>
              <w:top w:val="nil"/>
              <w:left w:val="nil"/>
              <w:bottom w:val="single" w:sz="4" w:space="0" w:color="auto"/>
              <w:right w:val="single" w:sz="4" w:space="0" w:color="auto"/>
            </w:tcBorders>
            <w:shd w:val="clear" w:color="auto" w:fill="auto"/>
            <w:noWrap/>
            <w:vAlign w:val="bottom"/>
            <w:hideMark/>
          </w:tcPr>
          <w:p w14:paraId="316849A2"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21,533,649 </w:t>
            </w:r>
          </w:p>
        </w:tc>
        <w:tc>
          <w:tcPr>
            <w:tcW w:w="2632" w:type="dxa"/>
            <w:tcBorders>
              <w:top w:val="nil"/>
              <w:left w:val="nil"/>
              <w:bottom w:val="single" w:sz="4" w:space="0" w:color="auto"/>
              <w:right w:val="single" w:sz="4" w:space="0" w:color="auto"/>
            </w:tcBorders>
            <w:shd w:val="clear" w:color="auto" w:fill="auto"/>
            <w:noWrap/>
            <w:vAlign w:val="bottom"/>
            <w:hideMark/>
          </w:tcPr>
          <w:p w14:paraId="08DD92BD"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32,479 </w:t>
            </w:r>
          </w:p>
        </w:tc>
      </w:tr>
      <w:tr w:rsidR="00802E99" w:rsidRPr="00FC08D5" w14:paraId="1D8B1F75"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7A7AB83"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$50,001 - $100,000</w:t>
            </w:r>
          </w:p>
        </w:tc>
        <w:tc>
          <w:tcPr>
            <w:tcW w:w="1920" w:type="dxa"/>
            <w:tcBorders>
              <w:top w:val="nil"/>
              <w:left w:val="nil"/>
              <w:bottom w:val="single" w:sz="4" w:space="0" w:color="auto"/>
              <w:right w:val="single" w:sz="4" w:space="0" w:color="auto"/>
            </w:tcBorders>
            <w:shd w:val="clear" w:color="auto" w:fill="auto"/>
            <w:noWrap/>
            <w:vAlign w:val="bottom"/>
            <w:hideMark/>
          </w:tcPr>
          <w:p w14:paraId="466B7CC2"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467</w:t>
            </w:r>
          </w:p>
        </w:tc>
        <w:tc>
          <w:tcPr>
            <w:tcW w:w="2360" w:type="dxa"/>
            <w:tcBorders>
              <w:top w:val="nil"/>
              <w:left w:val="nil"/>
              <w:bottom w:val="single" w:sz="4" w:space="0" w:color="auto"/>
              <w:right w:val="single" w:sz="4" w:space="0" w:color="auto"/>
            </w:tcBorders>
            <w:shd w:val="clear" w:color="auto" w:fill="auto"/>
            <w:noWrap/>
            <w:vAlign w:val="bottom"/>
            <w:hideMark/>
          </w:tcPr>
          <w:p w14:paraId="249DF2D9"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33,555,737 </w:t>
            </w:r>
          </w:p>
        </w:tc>
        <w:tc>
          <w:tcPr>
            <w:tcW w:w="2632" w:type="dxa"/>
            <w:tcBorders>
              <w:top w:val="nil"/>
              <w:left w:val="nil"/>
              <w:bottom w:val="single" w:sz="4" w:space="0" w:color="auto"/>
              <w:right w:val="single" w:sz="4" w:space="0" w:color="auto"/>
            </w:tcBorders>
            <w:shd w:val="clear" w:color="auto" w:fill="auto"/>
            <w:noWrap/>
            <w:vAlign w:val="bottom"/>
            <w:hideMark/>
          </w:tcPr>
          <w:p w14:paraId="5A7A368A"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71,854 </w:t>
            </w:r>
          </w:p>
        </w:tc>
      </w:tr>
      <w:tr w:rsidR="00802E99" w:rsidRPr="00FC08D5" w14:paraId="311DEF64"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D427E60"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$100,001 - $200,000</w:t>
            </w:r>
          </w:p>
        </w:tc>
        <w:tc>
          <w:tcPr>
            <w:tcW w:w="1920" w:type="dxa"/>
            <w:tcBorders>
              <w:top w:val="nil"/>
              <w:left w:val="nil"/>
              <w:bottom w:val="single" w:sz="4" w:space="0" w:color="auto"/>
              <w:right w:val="single" w:sz="4" w:space="0" w:color="auto"/>
            </w:tcBorders>
            <w:shd w:val="clear" w:color="auto" w:fill="auto"/>
            <w:noWrap/>
            <w:vAlign w:val="bottom"/>
            <w:hideMark/>
          </w:tcPr>
          <w:p w14:paraId="7AF735E3"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340</w:t>
            </w:r>
          </w:p>
        </w:tc>
        <w:tc>
          <w:tcPr>
            <w:tcW w:w="2360" w:type="dxa"/>
            <w:tcBorders>
              <w:top w:val="nil"/>
              <w:left w:val="nil"/>
              <w:bottom w:val="single" w:sz="4" w:space="0" w:color="auto"/>
              <w:right w:val="single" w:sz="4" w:space="0" w:color="auto"/>
            </w:tcBorders>
            <w:shd w:val="clear" w:color="auto" w:fill="auto"/>
            <w:noWrap/>
            <w:vAlign w:val="bottom"/>
            <w:hideMark/>
          </w:tcPr>
          <w:p w14:paraId="78DB3FF8"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47,917,889 </w:t>
            </w:r>
          </w:p>
        </w:tc>
        <w:tc>
          <w:tcPr>
            <w:tcW w:w="2632" w:type="dxa"/>
            <w:tcBorders>
              <w:top w:val="nil"/>
              <w:left w:val="nil"/>
              <w:bottom w:val="single" w:sz="4" w:space="0" w:color="auto"/>
              <w:right w:val="single" w:sz="4" w:space="0" w:color="auto"/>
            </w:tcBorders>
            <w:shd w:val="clear" w:color="auto" w:fill="auto"/>
            <w:noWrap/>
            <w:vAlign w:val="bottom"/>
            <w:hideMark/>
          </w:tcPr>
          <w:p w14:paraId="0E320CB3"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140,935 </w:t>
            </w:r>
          </w:p>
        </w:tc>
      </w:tr>
      <w:tr w:rsidR="00802E99" w:rsidRPr="00FC08D5" w14:paraId="21C05657"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475AA4A"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$200,0001 - $500,000</w:t>
            </w:r>
          </w:p>
        </w:tc>
        <w:tc>
          <w:tcPr>
            <w:tcW w:w="1920" w:type="dxa"/>
            <w:tcBorders>
              <w:top w:val="nil"/>
              <w:left w:val="nil"/>
              <w:bottom w:val="single" w:sz="4" w:space="0" w:color="auto"/>
              <w:right w:val="single" w:sz="4" w:space="0" w:color="auto"/>
            </w:tcBorders>
            <w:shd w:val="clear" w:color="auto" w:fill="auto"/>
            <w:noWrap/>
            <w:vAlign w:val="bottom"/>
            <w:hideMark/>
          </w:tcPr>
          <w:p w14:paraId="1112C65B"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274</w:t>
            </w:r>
          </w:p>
        </w:tc>
        <w:tc>
          <w:tcPr>
            <w:tcW w:w="2360" w:type="dxa"/>
            <w:tcBorders>
              <w:top w:val="nil"/>
              <w:left w:val="nil"/>
              <w:bottom w:val="single" w:sz="4" w:space="0" w:color="auto"/>
              <w:right w:val="single" w:sz="4" w:space="0" w:color="auto"/>
            </w:tcBorders>
            <w:shd w:val="clear" w:color="auto" w:fill="auto"/>
            <w:noWrap/>
            <w:vAlign w:val="bottom"/>
            <w:hideMark/>
          </w:tcPr>
          <w:p w14:paraId="18505300"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73,887,853 </w:t>
            </w:r>
          </w:p>
        </w:tc>
        <w:tc>
          <w:tcPr>
            <w:tcW w:w="2632" w:type="dxa"/>
            <w:tcBorders>
              <w:top w:val="nil"/>
              <w:left w:val="nil"/>
              <w:bottom w:val="single" w:sz="4" w:space="0" w:color="auto"/>
              <w:right w:val="single" w:sz="4" w:space="0" w:color="auto"/>
            </w:tcBorders>
            <w:shd w:val="clear" w:color="auto" w:fill="auto"/>
            <w:noWrap/>
            <w:vAlign w:val="bottom"/>
            <w:hideMark/>
          </w:tcPr>
          <w:p w14:paraId="5C8CD47B"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269,664 </w:t>
            </w:r>
          </w:p>
        </w:tc>
      </w:tr>
      <w:tr w:rsidR="00802E99" w:rsidRPr="00FC08D5" w14:paraId="6A0051AC" w14:textId="77777777" w:rsidTr="004046F0">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ABD1168"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Greater than $500,000</w:t>
            </w:r>
          </w:p>
        </w:tc>
        <w:tc>
          <w:tcPr>
            <w:tcW w:w="1920" w:type="dxa"/>
            <w:tcBorders>
              <w:top w:val="nil"/>
              <w:left w:val="nil"/>
              <w:bottom w:val="single" w:sz="4" w:space="0" w:color="auto"/>
              <w:right w:val="single" w:sz="4" w:space="0" w:color="auto"/>
            </w:tcBorders>
            <w:shd w:val="clear" w:color="auto" w:fill="auto"/>
            <w:noWrap/>
            <w:vAlign w:val="bottom"/>
            <w:hideMark/>
          </w:tcPr>
          <w:p w14:paraId="7251BFC2"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rPr>
              <w:t>11</w:t>
            </w:r>
          </w:p>
        </w:tc>
        <w:tc>
          <w:tcPr>
            <w:tcW w:w="2360" w:type="dxa"/>
            <w:tcBorders>
              <w:top w:val="nil"/>
              <w:left w:val="nil"/>
              <w:bottom w:val="single" w:sz="4" w:space="0" w:color="auto"/>
              <w:right w:val="single" w:sz="4" w:space="0" w:color="auto"/>
            </w:tcBorders>
            <w:shd w:val="clear" w:color="auto" w:fill="auto"/>
            <w:noWrap/>
            <w:vAlign w:val="bottom"/>
            <w:hideMark/>
          </w:tcPr>
          <w:p w14:paraId="453674C8"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9,134,676 </w:t>
            </w:r>
          </w:p>
        </w:tc>
        <w:tc>
          <w:tcPr>
            <w:tcW w:w="2632" w:type="dxa"/>
            <w:tcBorders>
              <w:top w:val="nil"/>
              <w:left w:val="nil"/>
              <w:bottom w:val="single" w:sz="4" w:space="0" w:color="auto"/>
              <w:right w:val="single" w:sz="4" w:space="0" w:color="auto"/>
            </w:tcBorders>
            <w:shd w:val="clear" w:color="auto" w:fill="auto"/>
            <w:noWrap/>
            <w:vAlign w:val="bottom"/>
            <w:hideMark/>
          </w:tcPr>
          <w:p w14:paraId="552AE782" w14:textId="77777777" w:rsidR="00802E99" w:rsidRPr="00FC08D5" w:rsidRDefault="00802E99" w:rsidP="004046F0">
            <w:pPr>
              <w:jc w:val="left"/>
              <w:rPr>
                <w:rFonts w:ascii="Arial" w:hAnsi="Arial" w:cs="Arial"/>
                <w:color w:val="000000"/>
                <w:szCs w:val="24"/>
                <w:lang w:eastAsia="en-AU"/>
              </w:rPr>
            </w:pPr>
            <w:r w:rsidRPr="00FC08D5">
              <w:rPr>
                <w:rFonts w:ascii="Arial" w:hAnsi="Arial" w:cs="Arial"/>
                <w:color w:val="000000"/>
              </w:rPr>
              <w:t xml:space="preserve"> $                    830,425 </w:t>
            </w:r>
          </w:p>
        </w:tc>
      </w:tr>
      <w:tr w:rsidR="00802E99" w:rsidRPr="00EF7E33" w14:paraId="01112BC3" w14:textId="77777777" w:rsidTr="004046F0">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94A1F75"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14:paraId="1BA59B88" w14:textId="77777777" w:rsidR="00802E99" w:rsidRPr="00FC08D5" w:rsidRDefault="00802E99" w:rsidP="004046F0">
            <w:pPr>
              <w:jc w:val="right"/>
              <w:rPr>
                <w:rFonts w:ascii="Arial" w:hAnsi="Arial" w:cs="Arial"/>
                <w:b/>
                <w:bCs/>
                <w:color w:val="000000"/>
                <w:szCs w:val="24"/>
                <w:lang w:eastAsia="en-AU"/>
              </w:rPr>
            </w:pPr>
            <w:r w:rsidRPr="00FC08D5">
              <w:rPr>
                <w:rFonts w:ascii="Arial" w:hAnsi="Arial" w:cs="Arial"/>
                <w:b/>
                <w:bCs/>
                <w:color w:val="000000"/>
              </w:rPr>
              <w:t>5,846</w:t>
            </w:r>
          </w:p>
        </w:tc>
        <w:tc>
          <w:tcPr>
            <w:tcW w:w="2360" w:type="dxa"/>
            <w:tcBorders>
              <w:top w:val="nil"/>
              <w:left w:val="nil"/>
              <w:bottom w:val="single" w:sz="4" w:space="0" w:color="auto"/>
              <w:right w:val="single" w:sz="4" w:space="0" w:color="auto"/>
            </w:tcBorders>
            <w:shd w:val="clear" w:color="auto" w:fill="auto"/>
            <w:noWrap/>
            <w:vAlign w:val="bottom"/>
            <w:hideMark/>
          </w:tcPr>
          <w:p w14:paraId="3B4C6395"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rPr>
              <w:t xml:space="preserve"> $         200,565,832 </w:t>
            </w:r>
          </w:p>
        </w:tc>
        <w:tc>
          <w:tcPr>
            <w:tcW w:w="2632" w:type="dxa"/>
            <w:tcBorders>
              <w:top w:val="nil"/>
              <w:left w:val="nil"/>
              <w:bottom w:val="single" w:sz="4" w:space="0" w:color="auto"/>
              <w:right w:val="single" w:sz="4" w:space="0" w:color="auto"/>
            </w:tcBorders>
            <w:shd w:val="clear" w:color="auto" w:fill="auto"/>
            <w:noWrap/>
            <w:vAlign w:val="bottom"/>
            <w:hideMark/>
          </w:tcPr>
          <w:p w14:paraId="7C95274A"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rPr>
              <w:t xml:space="preserve"> $                      34,308 </w:t>
            </w:r>
          </w:p>
        </w:tc>
      </w:tr>
    </w:tbl>
    <w:p w14:paraId="0AC87E48" w14:textId="77777777" w:rsidR="00802E99" w:rsidRDefault="00802E99" w:rsidP="00802E99">
      <w:pPr>
        <w:rPr>
          <w:rFonts w:ascii="Arial" w:hAnsi="Arial" w:cs="Arial"/>
          <w:color w:val="000000"/>
          <w:szCs w:val="24"/>
        </w:rPr>
      </w:pPr>
    </w:p>
    <w:p w14:paraId="48A14A9A" w14:textId="77777777" w:rsidR="00802E99" w:rsidRPr="00FC08D5" w:rsidRDefault="00802E99" w:rsidP="00802E99">
      <w:pPr>
        <w:rPr>
          <w:rFonts w:ascii="Arial" w:hAnsi="Arial" w:cs="Arial"/>
          <w:i/>
          <w:color w:val="000000"/>
          <w:szCs w:val="24"/>
        </w:rPr>
      </w:pPr>
      <w:r w:rsidRPr="00FC08D5">
        <w:rPr>
          <w:rFonts w:ascii="Arial" w:hAnsi="Arial" w:cs="Arial"/>
          <w:i/>
          <w:color w:val="000000"/>
          <w:szCs w:val="24"/>
        </w:rPr>
        <w:t>Infographic – Proportion of injured workers returned to work</w:t>
      </w:r>
    </w:p>
    <w:p w14:paraId="6EB7CEFF" w14:textId="77777777" w:rsidR="00802E99" w:rsidRPr="00FC08D5" w:rsidRDefault="00802E99" w:rsidP="00802E99">
      <w:pPr>
        <w:rPr>
          <w:rFonts w:ascii="Arial" w:hAnsi="Arial" w:cs="Arial"/>
          <w:i/>
          <w:color w:val="000000"/>
          <w:szCs w:val="24"/>
        </w:rPr>
      </w:pPr>
    </w:p>
    <w:tbl>
      <w:tblPr>
        <w:tblW w:w="5660" w:type="dxa"/>
        <w:tblLook w:val="04A0" w:firstRow="1" w:lastRow="0" w:firstColumn="1" w:lastColumn="0" w:noHBand="0" w:noVBand="1"/>
      </w:tblPr>
      <w:tblGrid>
        <w:gridCol w:w="3280"/>
        <w:gridCol w:w="2380"/>
      </w:tblGrid>
      <w:tr w:rsidR="00802E99" w:rsidRPr="00FC08D5" w14:paraId="1D4BFD16" w14:textId="77777777" w:rsidTr="004046F0">
        <w:trPr>
          <w:trHeight w:val="94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CF517"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szCs w:val="24"/>
                <w:lang w:eastAsia="en-AU"/>
              </w:rPr>
              <w:t> </w:t>
            </w:r>
          </w:p>
        </w:tc>
        <w:tc>
          <w:tcPr>
            <w:tcW w:w="2380" w:type="dxa"/>
            <w:tcBorders>
              <w:top w:val="single" w:sz="4" w:space="0" w:color="auto"/>
              <w:left w:val="nil"/>
              <w:bottom w:val="single" w:sz="4" w:space="0" w:color="auto"/>
              <w:right w:val="single" w:sz="4" w:space="0" w:color="auto"/>
            </w:tcBorders>
            <w:shd w:val="clear" w:color="auto" w:fill="auto"/>
            <w:vAlign w:val="bottom"/>
            <w:hideMark/>
          </w:tcPr>
          <w:p w14:paraId="66A32EEC"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szCs w:val="24"/>
                <w:lang w:eastAsia="en-AU"/>
              </w:rPr>
              <w:t>Finalised claims that received weekly payments for lost time</w:t>
            </w:r>
          </w:p>
        </w:tc>
      </w:tr>
      <w:tr w:rsidR="00802E99" w:rsidRPr="00FC08D5" w14:paraId="19219172" w14:textId="77777777" w:rsidTr="004046F0">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738F74F"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szCs w:val="24"/>
                <w:lang w:eastAsia="en-AU"/>
              </w:rPr>
              <w:t>Number of claims</w:t>
            </w:r>
          </w:p>
        </w:tc>
        <w:tc>
          <w:tcPr>
            <w:tcW w:w="2380" w:type="dxa"/>
            <w:tcBorders>
              <w:top w:val="nil"/>
              <w:left w:val="nil"/>
              <w:bottom w:val="single" w:sz="4" w:space="0" w:color="auto"/>
              <w:right w:val="single" w:sz="4" w:space="0" w:color="auto"/>
            </w:tcBorders>
            <w:shd w:val="clear" w:color="auto" w:fill="auto"/>
            <w:noWrap/>
            <w:vAlign w:val="bottom"/>
            <w:hideMark/>
          </w:tcPr>
          <w:p w14:paraId="2F743BA9"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3,754</w:t>
            </w:r>
          </w:p>
        </w:tc>
      </w:tr>
      <w:tr w:rsidR="00802E99" w:rsidRPr="00FC08D5" w14:paraId="506B0B93" w14:textId="77777777" w:rsidTr="004046F0">
        <w:trPr>
          <w:trHeight w:val="315"/>
        </w:trPr>
        <w:tc>
          <w:tcPr>
            <w:tcW w:w="3280" w:type="dxa"/>
            <w:tcBorders>
              <w:top w:val="nil"/>
              <w:left w:val="single" w:sz="4" w:space="0" w:color="auto"/>
              <w:bottom w:val="nil"/>
              <w:right w:val="single" w:sz="4" w:space="0" w:color="auto"/>
            </w:tcBorders>
            <w:shd w:val="clear" w:color="auto" w:fill="auto"/>
            <w:noWrap/>
            <w:vAlign w:val="bottom"/>
            <w:hideMark/>
          </w:tcPr>
          <w:p w14:paraId="37D58E18" w14:textId="77777777" w:rsidR="00802E99" w:rsidRPr="00FC08D5" w:rsidRDefault="00802E99" w:rsidP="004046F0">
            <w:pPr>
              <w:jc w:val="left"/>
              <w:rPr>
                <w:rFonts w:ascii="Arial" w:hAnsi="Arial" w:cs="Arial"/>
                <w:b/>
                <w:bCs/>
                <w:color w:val="000000"/>
                <w:szCs w:val="24"/>
                <w:lang w:eastAsia="en-AU"/>
              </w:rPr>
            </w:pPr>
            <w:r w:rsidRPr="00FC08D5">
              <w:rPr>
                <w:rFonts w:ascii="Arial" w:hAnsi="Arial" w:cs="Arial"/>
                <w:b/>
                <w:bCs/>
                <w:color w:val="000000"/>
                <w:szCs w:val="24"/>
                <w:lang w:eastAsia="en-AU"/>
              </w:rPr>
              <w:t>Return to work %</w:t>
            </w:r>
          </w:p>
        </w:tc>
        <w:tc>
          <w:tcPr>
            <w:tcW w:w="2380" w:type="dxa"/>
            <w:tcBorders>
              <w:top w:val="nil"/>
              <w:left w:val="nil"/>
              <w:bottom w:val="nil"/>
              <w:right w:val="single" w:sz="4" w:space="0" w:color="auto"/>
            </w:tcBorders>
            <w:shd w:val="clear" w:color="auto" w:fill="auto"/>
            <w:noWrap/>
            <w:vAlign w:val="bottom"/>
            <w:hideMark/>
          </w:tcPr>
          <w:p w14:paraId="16B8F3BB" w14:textId="77777777" w:rsidR="00802E99" w:rsidRPr="00FC08D5" w:rsidRDefault="00802E99" w:rsidP="004046F0">
            <w:pPr>
              <w:jc w:val="right"/>
              <w:rPr>
                <w:rFonts w:ascii="Arial" w:hAnsi="Arial" w:cs="Arial"/>
                <w:color w:val="000000"/>
                <w:szCs w:val="24"/>
                <w:lang w:eastAsia="en-AU"/>
              </w:rPr>
            </w:pPr>
            <w:r w:rsidRPr="00FC08D5">
              <w:rPr>
                <w:rFonts w:ascii="Arial" w:hAnsi="Arial" w:cs="Arial"/>
                <w:color w:val="000000"/>
                <w:szCs w:val="24"/>
                <w:lang w:eastAsia="en-AU"/>
              </w:rPr>
              <w:t>86%</w:t>
            </w:r>
          </w:p>
        </w:tc>
      </w:tr>
      <w:tr w:rsidR="00802E99" w:rsidRPr="006C27C6" w14:paraId="2E8BF3DD" w14:textId="77777777" w:rsidTr="004046F0">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tcPr>
          <w:p w14:paraId="35A7DA8C" w14:textId="77777777" w:rsidR="00802E99" w:rsidRPr="00FC08D5" w:rsidRDefault="00802E99" w:rsidP="004046F0">
            <w:pPr>
              <w:jc w:val="left"/>
              <w:rPr>
                <w:rFonts w:ascii="Arial" w:hAnsi="Arial" w:cs="Arial"/>
                <w:b/>
                <w:bCs/>
                <w:color w:val="000000"/>
                <w:szCs w:val="24"/>
                <w:lang w:eastAsia="en-AU"/>
              </w:rPr>
            </w:pPr>
          </w:p>
        </w:tc>
        <w:tc>
          <w:tcPr>
            <w:tcW w:w="2380" w:type="dxa"/>
            <w:tcBorders>
              <w:top w:val="nil"/>
              <w:left w:val="nil"/>
              <w:bottom w:val="single" w:sz="4" w:space="0" w:color="auto"/>
              <w:right w:val="single" w:sz="4" w:space="0" w:color="auto"/>
            </w:tcBorders>
            <w:shd w:val="clear" w:color="auto" w:fill="auto"/>
            <w:noWrap/>
            <w:vAlign w:val="bottom"/>
          </w:tcPr>
          <w:p w14:paraId="03780607" w14:textId="77777777" w:rsidR="00802E99" w:rsidRPr="00FC08D5" w:rsidRDefault="00802E99" w:rsidP="004046F0">
            <w:pPr>
              <w:rPr>
                <w:rFonts w:ascii="Arial" w:hAnsi="Arial" w:cs="Arial"/>
                <w:color w:val="000000"/>
                <w:szCs w:val="24"/>
                <w:lang w:eastAsia="en-AU"/>
              </w:rPr>
            </w:pPr>
          </w:p>
        </w:tc>
      </w:tr>
    </w:tbl>
    <w:p w14:paraId="4A173D67" w14:textId="77777777" w:rsidR="00802E99" w:rsidRDefault="00802E99" w:rsidP="00802E99">
      <w:pPr>
        <w:rPr>
          <w:rFonts w:ascii="Arial" w:hAnsi="Arial" w:cs="Arial"/>
          <w:color w:val="000000"/>
          <w:szCs w:val="24"/>
        </w:rPr>
      </w:pPr>
    </w:p>
    <w:p w14:paraId="789B6345" w14:textId="77777777" w:rsidR="00802E99" w:rsidRPr="00CF644F" w:rsidRDefault="00802E99" w:rsidP="00802E99">
      <w:pPr>
        <w:rPr>
          <w:rFonts w:ascii="Arial" w:hAnsi="Arial" w:cs="Arial"/>
          <w:color w:val="000000"/>
          <w:szCs w:val="24"/>
        </w:rPr>
      </w:pPr>
      <w:r w:rsidRPr="00B531BF">
        <w:rPr>
          <w:rFonts w:ascii="Arial" w:hAnsi="Arial" w:cs="Arial"/>
          <w:color w:val="000000"/>
          <w:szCs w:val="24"/>
        </w:rPr>
        <w:t xml:space="preserve">Of the 5,846 </w:t>
      </w:r>
      <w:r>
        <w:rPr>
          <w:rFonts w:ascii="Arial" w:hAnsi="Arial" w:cs="Arial"/>
          <w:color w:val="000000"/>
          <w:szCs w:val="24"/>
        </w:rPr>
        <w:t xml:space="preserve">workers’ compensation </w:t>
      </w:r>
      <w:r w:rsidRPr="00B531BF">
        <w:rPr>
          <w:rFonts w:ascii="Arial" w:hAnsi="Arial" w:cs="Arial"/>
          <w:color w:val="000000"/>
          <w:szCs w:val="24"/>
        </w:rPr>
        <w:t>claims finalised in 2018, 36% were for medical expenses only. A focus on capacity for work and innovation to support recovery in the workplace is crucial to achieving greater return to work rates.</w:t>
      </w:r>
      <w:r>
        <w:rPr>
          <w:rFonts w:ascii="Arial" w:hAnsi="Arial" w:cs="Arial"/>
          <w:color w:val="000000"/>
          <w:szCs w:val="24"/>
        </w:rPr>
        <w:t xml:space="preserve"> </w:t>
      </w:r>
      <w:r w:rsidRPr="001F3D6D">
        <w:rPr>
          <w:rFonts w:ascii="Arial" w:hAnsi="Arial" w:cs="Arial"/>
          <w:color w:val="000000"/>
          <w:szCs w:val="24"/>
        </w:rPr>
        <w:t>Of the 3,754 finalised claims that received weekly payments for lost time during 2018, 86% of those claimants had returned to work at 30 June 2018.</w:t>
      </w:r>
    </w:p>
    <w:p w14:paraId="7C3C3983" w14:textId="77777777" w:rsidR="00802E99" w:rsidRDefault="00802E99" w:rsidP="00802E99">
      <w:pPr>
        <w:rPr>
          <w:rFonts w:ascii="Arial" w:hAnsi="Arial" w:cs="Arial"/>
          <w:szCs w:val="24"/>
        </w:rPr>
      </w:pPr>
    </w:p>
    <w:p w14:paraId="2D7742B6" w14:textId="77777777" w:rsidR="00802E99" w:rsidRDefault="00802E99" w:rsidP="00802E99">
      <w:pPr>
        <w:rPr>
          <w:rFonts w:ascii="Arial" w:hAnsi="Arial" w:cs="Arial"/>
          <w:szCs w:val="24"/>
        </w:rPr>
      </w:pPr>
      <w:r>
        <w:rPr>
          <w:rFonts w:ascii="Arial" w:hAnsi="Arial" w:cs="Arial"/>
          <w:szCs w:val="24"/>
        </w:rPr>
        <w:t xml:space="preserve">Although mental stress claims represent 9.1% of new workers’ compensation claims in 2018, </w:t>
      </w:r>
      <w:r w:rsidRPr="00CF644F">
        <w:rPr>
          <w:rFonts w:ascii="Arial" w:hAnsi="Arial" w:cs="Arial"/>
          <w:szCs w:val="24"/>
        </w:rPr>
        <w:t xml:space="preserve">the estimated cost of mental stress claims for WA public sector agencies was </w:t>
      </w:r>
      <w:r>
        <w:rPr>
          <w:rFonts w:ascii="Arial" w:hAnsi="Arial" w:cs="Arial"/>
          <w:szCs w:val="24"/>
        </w:rPr>
        <w:t xml:space="preserve">23.2% of the total estimated claims cost. </w:t>
      </w:r>
      <w:r w:rsidRPr="00CF644F">
        <w:rPr>
          <w:rFonts w:ascii="Arial" w:hAnsi="Arial" w:cs="Arial"/>
          <w:szCs w:val="24"/>
        </w:rPr>
        <w:t xml:space="preserve">The average </w:t>
      </w:r>
      <w:r>
        <w:rPr>
          <w:rFonts w:ascii="Arial" w:hAnsi="Arial" w:cs="Arial"/>
          <w:szCs w:val="24"/>
        </w:rPr>
        <w:t xml:space="preserve">estimated </w:t>
      </w:r>
      <w:r w:rsidRPr="00CF644F">
        <w:rPr>
          <w:rFonts w:ascii="Arial" w:hAnsi="Arial" w:cs="Arial"/>
          <w:szCs w:val="24"/>
        </w:rPr>
        <w:t xml:space="preserve">cost of mental stress claims received by RiskCover </w:t>
      </w:r>
      <w:r>
        <w:rPr>
          <w:rFonts w:ascii="Arial" w:hAnsi="Arial" w:cs="Arial"/>
          <w:szCs w:val="24"/>
        </w:rPr>
        <w:t xml:space="preserve">in 2018 </w:t>
      </w:r>
      <w:r w:rsidRPr="00CF644F">
        <w:rPr>
          <w:rFonts w:ascii="Arial" w:hAnsi="Arial" w:cs="Arial"/>
          <w:szCs w:val="24"/>
        </w:rPr>
        <w:t>was approximately $</w:t>
      </w:r>
      <w:r>
        <w:rPr>
          <w:rFonts w:ascii="Arial" w:hAnsi="Arial" w:cs="Arial"/>
          <w:szCs w:val="24"/>
        </w:rPr>
        <w:t>65,882</w:t>
      </w:r>
      <w:r w:rsidRPr="00CF644F">
        <w:rPr>
          <w:rFonts w:ascii="Arial" w:hAnsi="Arial" w:cs="Arial"/>
          <w:szCs w:val="24"/>
        </w:rPr>
        <w:t xml:space="preserve"> compared to $5</w:t>
      </w:r>
      <w:r>
        <w:rPr>
          <w:rFonts w:ascii="Arial" w:hAnsi="Arial" w:cs="Arial"/>
          <w:szCs w:val="24"/>
        </w:rPr>
        <w:t>6,319 in 2017 (2016: $50</w:t>
      </w:r>
      <w:r w:rsidRPr="00CF644F">
        <w:rPr>
          <w:rFonts w:ascii="Arial" w:hAnsi="Arial" w:cs="Arial"/>
          <w:szCs w:val="24"/>
        </w:rPr>
        <w:t>,000</w:t>
      </w:r>
      <w:r>
        <w:rPr>
          <w:rFonts w:ascii="Arial" w:hAnsi="Arial" w:cs="Arial"/>
          <w:szCs w:val="24"/>
        </w:rPr>
        <w:t>)</w:t>
      </w:r>
      <w:r w:rsidRPr="00CF644F">
        <w:rPr>
          <w:rFonts w:ascii="Arial" w:hAnsi="Arial" w:cs="Arial"/>
          <w:szCs w:val="24"/>
        </w:rPr>
        <w:t xml:space="preserve">. The cost of mental stress claims </w:t>
      </w:r>
      <w:r>
        <w:rPr>
          <w:rFonts w:ascii="Arial" w:hAnsi="Arial" w:cs="Arial"/>
          <w:szCs w:val="24"/>
        </w:rPr>
        <w:t>continue to increase and is w</w:t>
      </w:r>
      <w:r w:rsidRPr="00CF644F">
        <w:rPr>
          <w:rFonts w:ascii="Arial" w:hAnsi="Arial" w:cs="Arial"/>
          <w:szCs w:val="24"/>
        </w:rPr>
        <w:t xml:space="preserve">ell above the average cost of </w:t>
      </w:r>
      <w:r>
        <w:rPr>
          <w:rFonts w:ascii="Arial" w:hAnsi="Arial" w:cs="Arial"/>
          <w:szCs w:val="24"/>
        </w:rPr>
        <w:t xml:space="preserve">other </w:t>
      </w:r>
      <w:r w:rsidRPr="00CF644F">
        <w:rPr>
          <w:rFonts w:ascii="Arial" w:hAnsi="Arial" w:cs="Arial"/>
          <w:szCs w:val="24"/>
        </w:rPr>
        <w:t xml:space="preserve">workers’ compensation claims </w:t>
      </w:r>
      <w:r>
        <w:rPr>
          <w:rFonts w:ascii="Arial" w:hAnsi="Arial" w:cs="Arial"/>
          <w:szCs w:val="24"/>
        </w:rPr>
        <w:t>due to the complexities of the injury and of returning an individual to their pre-injury work environment</w:t>
      </w:r>
      <w:r w:rsidRPr="00CF644F">
        <w:rPr>
          <w:rFonts w:ascii="Arial" w:hAnsi="Arial" w:cs="Arial"/>
          <w:szCs w:val="24"/>
        </w:rPr>
        <w:t xml:space="preserve">. </w:t>
      </w:r>
    </w:p>
    <w:p w14:paraId="53471E27" w14:textId="77777777" w:rsidR="00802E99" w:rsidRDefault="00802E99" w:rsidP="00802E99">
      <w:pPr>
        <w:rPr>
          <w:rFonts w:ascii="Arial" w:hAnsi="Arial" w:cs="Arial"/>
          <w:szCs w:val="24"/>
        </w:rPr>
      </w:pPr>
    </w:p>
    <w:p w14:paraId="6A5C966E" w14:textId="77777777" w:rsidR="00802E99" w:rsidRDefault="00802E99" w:rsidP="00802E99">
      <w:pPr>
        <w:rPr>
          <w:rFonts w:ascii="Arial" w:hAnsi="Arial" w:cs="Arial"/>
          <w:szCs w:val="24"/>
        </w:rPr>
      </w:pPr>
      <w:r w:rsidRPr="00CF644F">
        <w:rPr>
          <w:rFonts w:ascii="Arial" w:hAnsi="Arial" w:cs="Arial"/>
          <w:szCs w:val="24"/>
        </w:rPr>
        <w:t>Public sector workers across Australia continue to lodge mental stress workers’ compensation claims at rates well above the private sector</w:t>
      </w:r>
      <w:r>
        <w:rPr>
          <w:rFonts w:ascii="Arial" w:hAnsi="Arial" w:cs="Arial"/>
          <w:szCs w:val="24"/>
        </w:rPr>
        <w:t xml:space="preserve">. </w:t>
      </w:r>
      <w:r w:rsidRPr="00B21273">
        <w:rPr>
          <w:rFonts w:ascii="Arial" w:hAnsi="Arial" w:cs="Arial"/>
          <w:szCs w:val="24"/>
        </w:rPr>
        <w:t xml:space="preserve">The difference between the private and public sector is noteworthy and it would appear that public sector </w:t>
      </w:r>
      <w:r>
        <w:rPr>
          <w:rFonts w:ascii="Arial" w:hAnsi="Arial" w:cs="Arial"/>
          <w:szCs w:val="24"/>
        </w:rPr>
        <w:t>agencies and their staff</w:t>
      </w:r>
      <w:r w:rsidRPr="00B21273">
        <w:rPr>
          <w:rFonts w:ascii="Arial" w:hAnsi="Arial" w:cs="Arial"/>
          <w:szCs w:val="24"/>
        </w:rPr>
        <w:t xml:space="preserve"> across Australia still have more work to do to prevent incidents that give rise to mental stress claims.</w:t>
      </w:r>
    </w:p>
    <w:p w14:paraId="7D03F91C" w14:textId="77777777" w:rsidR="00802E99" w:rsidRPr="00CF644F" w:rsidRDefault="00802E99" w:rsidP="00802E99">
      <w:pPr>
        <w:rPr>
          <w:rFonts w:ascii="Arial" w:hAnsi="Arial" w:cs="Arial"/>
          <w:szCs w:val="24"/>
        </w:rPr>
      </w:pPr>
    </w:p>
    <w:p w14:paraId="1C78B0BE" w14:textId="77777777" w:rsidR="00802E99" w:rsidRDefault="00802E99" w:rsidP="00802E99">
      <w:pPr>
        <w:rPr>
          <w:rFonts w:ascii="Arial" w:hAnsi="Arial" w:cs="Arial"/>
          <w:szCs w:val="24"/>
        </w:rPr>
      </w:pPr>
      <w:r w:rsidRPr="00483790">
        <w:rPr>
          <w:rFonts w:ascii="Arial" w:hAnsi="Arial" w:cs="Arial"/>
          <w:szCs w:val="24"/>
        </w:rPr>
        <w:t>The infographic overleaf provides further detail on mental stress claims.</w:t>
      </w:r>
    </w:p>
    <w:p w14:paraId="5D212F61" w14:textId="77777777" w:rsidR="00802E99" w:rsidRDefault="00802E99" w:rsidP="00802E99">
      <w:pPr>
        <w:rPr>
          <w:rFonts w:ascii="Arial" w:hAnsi="Arial" w:cs="Arial"/>
          <w:szCs w:val="24"/>
        </w:rPr>
      </w:pPr>
    </w:p>
    <w:p w14:paraId="5D238B95" w14:textId="6A7D4FEE" w:rsidR="00802E99" w:rsidRPr="00FC08D5" w:rsidRDefault="00FC08D5" w:rsidP="00FC08D5">
      <w:pPr>
        <w:rPr>
          <w:rFonts w:ascii="Arial" w:hAnsi="Arial" w:cs="Arial"/>
          <w:i/>
          <w:szCs w:val="24"/>
        </w:rPr>
      </w:pPr>
      <w:r w:rsidRPr="00FC08D5">
        <w:rPr>
          <w:rFonts w:ascii="Arial" w:hAnsi="Arial" w:cs="Arial"/>
          <w:i/>
          <w:szCs w:val="24"/>
        </w:rPr>
        <w:t>Infographic – Workers’ Compensation Mental Stress C</w:t>
      </w:r>
      <w:r w:rsidR="00802E99" w:rsidRPr="00FC08D5">
        <w:rPr>
          <w:rFonts w:ascii="Arial" w:hAnsi="Arial" w:cs="Arial"/>
          <w:i/>
          <w:szCs w:val="24"/>
        </w:rPr>
        <w:t>laims</w:t>
      </w:r>
    </w:p>
    <w:tbl>
      <w:tblPr>
        <w:tblW w:w="9026" w:type="dxa"/>
        <w:tblLook w:val="04A0" w:firstRow="1" w:lastRow="0" w:firstColumn="1" w:lastColumn="0" w:noHBand="0" w:noVBand="1"/>
      </w:tblPr>
      <w:tblGrid>
        <w:gridCol w:w="4113"/>
        <w:gridCol w:w="1955"/>
        <w:gridCol w:w="2958"/>
      </w:tblGrid>
      <w:tr w:rsidR="00802E99" w:rsidRPr="00FC08D5" w14:paraId="5128142F" w14:textId="77777777" w:rsidTr="004046F0">
        <w:trPr>
          <w:trHeight w:val="300"/>
        </w:trPr>
        <w:tc>
          <w:tcPr>
            <w:tcW w:w="9026" w:type="dxa"/>
            <w:gridSpan w:val="3"/>
            <w:tcBorders>
              <w:top w:val="nil"/>
              <w:left w:val="nil"/>
              <w:bottom w:val="nil"/>
              <w:right w:val="nil"/>
            </w:tcBorders>
            <w:shd w:val="clear" w:color="auto" w:fill="auto"/>
            <w:noWrap/>
            <w:vAlign w:val="center"/>
            <w:hideMark/>
          </w:tcPr>
          <w:p w14:paraId="6470557F" w14:textId="77777777" w:rsidR="00FC08D5" w:rsidRPr="00FC08D5" w:rsidRDefault="00FC08D5" w:rsidP="00FC08D5">
            <w:pPr>
              <w:jc w:val="left"/>
              <w:rPr>
                <w:rFonts w:ascii="Arial" w:hAnsi="Arial" w:cs="Arial"/>
                <w:color w:val="000000"/>
                <w:szCs w:val="24"/>
                <w:lang w:eastAsia="en-AU"/>
              </w:rPr>
            </w:pPr>
          </w:p>
          <w:p w14:paraId="42B5BD33"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Stress claims are twice the cost of physical injury claims and have longer duration</w:t>
            </w:r>
          </w:p>
        </w:tc>
      </w:tr>
      <w:tr w:rsidR="00802E99" w:rsidRPr="00FC08D5" w14:paraId="53DBE5FA" w14:textId="77777777" w:rsidTr="004046F0">
        <w:trPr>
          <w:trHeight w:val="300"/>
        </w:trPr>
        <w:tc>
          <w:tcPr>
            <w:tcW w:w="4113" w:type="dxa"/>
            <w:tcBorders>
              <w:top w:val="nil"/>
              <w:left w:val="nil"/>
              <w:bottom w:val="nil"/>
              <w:right w:val="nil"/>
            </w:tcBorders>
            <w:shd w:val="clear" w:color="auto" w:fill="auto"/>
            <w:noWrap/>
            <w:vAlign w:val="center"/>
            <w:hideMark/>
          </w:tcPr>
          <w:p w14:paraId="099B33EE" w14:textId="77777777" w:rsidR="00802E99" w:rsidRPr="00FC08D5" w:rsidRDefault="00802E99" w:rsidP="00FC08D5">
            <w:pPr>
              <w:jc w:val="left"/>
              <w:rPr>
                <w:rFonts w:ascii="Arial" w:hAnsi="Arial" w:cs="Arial"/>
                <w:color w:val="000000"/>
                <w:szCs w:val="24"/>
                <w:lang w:eastAsia="en-AU"/>
              </w:rPr>
            </w:pPr>
          </w:p>
        </w:tc>
        <w:tc>
          <w:tcPr>
            <w:tcW w:w="1955" w:type="dxa"/>
            <w:tcBorders>
              <w:top w:val="nil"/>
              <w:left w:val="nil"/>
              <w:bottom w:val="nil"/>
              <w:right w:val="nil"/>
            </w:tcBorders>
            <w:shd w:val="clear" w:color="auto" w:fill="auto"/>
            <w:noWrap/>
            <w:vAlign w:val="bottom"/>
            <w:hideMark/>
          </w:tcPr>
          <w:p w14:paraId="2223F7AC" w14:textId="77777777" w:rsidR="00802E99" w:rsidRPr="00FC08D5" w:rsidRDefault="00802E99" w:rsidP="00FC08D5">
            <w:pPr>
              <w:jc w:val="left"/>
              <w:rPr>
                <w:sz w:val="20"/>
                <w:lang w:eastAsia="en-AU"/>
              </w:rPr>
            </w:pPr>
          </w:p>
        </w:tc>
        <w:tc>
          <w:tcPr>
            <w:tcW w:w="2958" w:type="dxa"/>
            <w:tcBorders>
              <w:top w:val="nil"/>
              <w:left w:val="nil"/>
              <w:bottom w:val="nil"/>
              <w:right w:val="nil"/>
            </w:tcBorders>
            <w:shd w:val="clear" w:color="auto" w:fill="auto"/>
            <w:noWrap/>
            <w:vAlign w:val="bottom"/>
            <w:hideMark/>
          </w:tcPr>
          <w:p w14:paraId="58E13C87" w14:textId="77777777" w:rsidR="00802E99" w:rsidRPr="00FC08D5" w:rsidRDefault="00802E99" w:rsidP="00FC08D5">
            <w:pPr>
              <w:jc w:val="left"/>
              <w:rPr>
                <w:sz w:val="20"/>
                <w:lang w:eastAsia="en-AU"/>
              </w:rPr>
            </w:pPr>
          </w:p>
        </w:tc>
      </w:tr>
      <w:tr w:rsidR="00802E99" w:rsidRPr="00FC08D5" w14:paraId="7FD118E1" w14:textId="77777777" w:rsidTr="004046F0">
        <w:trPr>
          <w:trHeight w:val="300"/>
        </w:trPr>
        <w:tc>
          <w:tcPr>
            <w:tcW w:w="9026" w:type="dxa"/>
            <w:gridSpan w:val="3"/>
            <w:tcBorders>
              <w:top w:val="nil"/>
              <w:left w:val="nil"/>
              <w:bottom w:val="nil"/>
              <w:right w:val="nil"/>
            </w:tcBorders>
            <w:shd w:val="clear" w:color="auto" w:fill="auto"/>
            <w:noWrap/>
            <w:vAlign w:val="center"/>
            <w:hideMark/>
          </w:tcPr>
          <w:p w14:paraId="361286FB"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Approximately 50% of mental stress claims in WA are lodged through RiskCover despite public sector employees only accounting for 10% of WA’s workforce</w:t>
            </w:r>
          </w:p>
        </w:tc>
      </w:tr>
      <w:tr w:rsidR="00802E99" w:rsidRPr="00FC08D5" w14:paraId="21F0A8D2" w14:textId="77777777" w:rsidTr="004046F0">
        <w:trPr>
          <w:trHeight w:val="300"/>
        </w:trPr>
        <w:tc>
          <w:tcPr>
            <w:tcW w:w="4113" w:type="dxa"/>
            <w:tcBorders>
              <w:top w:val="nil"/>
              <w:left w:val="nil"/>
              <w:bottom w:val="nil"/>
              <w:right w:val="nil"/>
            </w:tcBorders>
            <w:shd w:val="clear" w:color="auto" w:fill="auto"/>
            <w:noWrap/>
            <w:vAlign w:val="center"/>
            <w:hideMark/>
          </w:tcPr>
          <w:p w14:paraId="13B47DCE" w14:textId="77777777" w:rsidR="00802E99" w:rsidRPr="00FC08D5" w:rsidRDefault="00802E99" w:rsidP="00FC08D5">
            <w:pPr>
              <w:jc w:val="left"/>
              <w:rPr>
                <w:rFonts w:ascii="Arial" w:hAnsi="Arial" w:cs="Arial"/>
                <w:color w:val="000000"/>
                <w:szCs w:val="24"/>
                <w:lang w:eastAsia="en-AU"/>
              </w:rPr>
            </w:pPr>
          </w:p>
        </w:tc>
        <w:tc>
          <w:tcPr>
            <w:tcW w:w="1955" w:type="dxa"/>
            <w:tcBorders>
              <w:top w:val="nil"/>
              <w:left w:val="nil"/>
              <w:bottom w:val="nil"/>
              <w:right w:val="nil"/>
            </w:tcBorders>
            <w:shd w:val="clear" w:color="auto" w:fill="auto"/>
            <w:noWrap/>
            <w:vAlign w:val="bottom"/>
            <w:hideMark/>
          </w:tcPr>
          <w:p w14:paraId="0E4B0A4D" w14:textId="77777777" w:rsidR="00802E99" w:rsidRPr="00FC08D5" w:rsidRDefault="00802E99" w:rsidP="00FC08D5">
            <w:pPr>
              <w:jc w:val="left"/>
              <w:rPr>
                <w:sz w:val="20"/>
                <w:lang w:eastAsia="en-AU"/>
              </w:rPr>
            </w:pPr>
          </w:p>
        </w:tc>
        <w:tc>
          <w:tcPr>
            <w:tcW w:w="2958" w:type="dxa"/>
            <w:tcBorders>
              <w:top w:val="nil"/>
              <w:left w:val="nil"/>
              <w:bottom w:val="nil"/>
              <w:right w:val="nil"/>
            </w:tcBorders>
            <w:shd w:val="clear" w:color="auto" w:fill="auto"/>
            <w:noWrap/>
            <w:vAlign w:val="bottom"/>
            <w:hideMark/>
          </w:tcPr>
          <w:p w14:paraId="6FD6E3DE" w14:textId="77777777" w:rsidR="00802E99" w:rsidRPr="00FC08D5" w:rsidRDefault="00802E99" w:rsidP="00FC08D5">
            <w:pPr>
              <w:jc w:val="left"/>
              <w:rPr>
                <w:sz w:val="20"/>
                <w:lang w:eastAsia="en-AU"/>
              </w:rPr>
            </w:pPr>
          </w:p>
        </w:tc>
      </w:tr>
      <w:tr w:rsidR="00802E99" w:rsidRPr="00FC08D5" w14:paraId="3653CCAE" w14:textId="77777777" w:rsidTr="004046F0">
        <w:trPr>
          <w:trHeight w:val="300"/>
        </w:trPr>
        <w:tc>
          <w:tcPr>
            <w:tcW w:w="9026" w:type="dxa"/>
            <w:gridSpan w:val="3"/>
            <w:tcBorders>
              <w:top w:val="nil"/>
              <w:left w:val="nil"/>
              <w:bottom w:val="nil"/>
              <w:right w:val="nil"/>
            </w:tcBorders>
            <w:shd w:val="clear" w:color="auto" w:fill="auto"/>
            <w:noWrap/>
            <w:vAlign w:val="center"/>
            <w:hideMark/>
          </w:tcPr>
          <w:p w14:paraId="28894CCB"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$28.1m – Cost of mental stress claims lodged with RiskCover in 2017</w:t>
            </w:r>
          </w:p>
        </w:tc>
      </w:tr>
      <w:tr w:rsidR="00802E99" w:rsidRPr="00FC08D5" w14:paraId="0F081C4A" w14:textId="77777777" w:rsidTr="004046F0">
        <w:trPr>
          <w:trHeight w:val="300"/>
        </w:trPr>
        <w:tc>
          <w:tcPr>
            <w:tcW w:w="4113" w:type="dxa"/>
            <w:tcBorders>
              <w:top w:val="nil"/>
              <w:left w:val="nil"/>
              <w:bottom w:val="nil"/>
              <w:right w:val="nil"/>
            </w:tcBorders>
            <w:shd w:val="clear" w:color="auto" w:fill="auto"/>
            <w:noWrap/>
            <w:vAlign w:val="center"/>
            <w:hideMark/>
          </w:tcPr>
          <w:p w14:paraId="47E00D3F" w14:textId="77777777" w:rsidR="00802E99" w:rsidRPr="00FC08D5" w:rsidRDefault="00802E99" w:rsidP="00FC08D5">
            <w:pPr>
              <w:jc w:val="left"/>
              <w:rPr>
                <w:rFonts w:ascii="Arial" w:hAnsi="Arial" w:cs="Arial"/>
                <w:color w:val="000000"/>
                <w:szCs w:val="24"/>
                <w:lang w:eastAsia="en-AU"/>
              </w:rPr>
            </w:pPr>
          </w:p>
        </w:tc>
        <w:tc>
          <w:tcPr>
            <w:tcW w:w="1955" w:type="dxa"/>
            <w:tcBorders>
              <w:top w:val="nil"/>
              <w:left w:val="nil"/>
              <w:bottom w:val="nil"/>
              <w:right w:val="nil"/>
            </w:tcBorders>
            <w:shd w:val="clear" w:color="auto" w:fill="auto"/>
            <w:noWrap/>
            <w:vAlign w:val="bottom"/>
            <w:hideMark/>
          </w:tcPr>
          <w:p w14:paraId="79690226" w14:textId="77777777" w:rsidR="00802E99" w:rsidRPr="00FC08D5" w:rsidRDefault="00802E99" w:rsidP="00FC08D5">
            <w:pPr>
              <w:jc w:val="left"/>
              <w:rPr>
                <w:sz w:val="20"/>
                <w:lang w:eastAsia="en-AU"/>
              </w:rPr>
            </w:pPr>
          </w:p>
        </w:tc>
        <w:tc>
          <w:tcPr>
            <w:tcW w:w="2958" w:type="dxa"/>
            <w:tcBorders>
              <w:top w:val="nil"/>
              <w:left w:val="nil"/>
              <w:bottom w:val="nil"/>
              <w:right w:val="nil"/>
            </w:tcBorders>
            <w:shd w:val="clear" w:color="auto" w:fill="auto"/>
            <w:noWrap/>
            <w:vAlign w:val="bottom"/>
            <w:hideMark/>
          </w:tcPr>
          <w:p w14:paraId="4C846AF5" w14:textId="77777777" w:rsidR="00802E99" w:rsidRPr="00FC08D5" w:rsidRDefault="00802E99" w:rsidP="00FC08D5">
            <w:pPr>
              <w:jc w:val="left"/>
              <w:rPr>
                <w:sz w:val="20"/>
                <w:lang w:eastAsia="en-AU"/>
              </w:rPr>
            </w:pPr>
          </w:p>
        </w:tc>
      </w:tr>
      <w:tr w:rsidR="00802E99" w:rsidRPr="00FC08D5" w14:paraId="26E4EEB1" w14:textId="77777777" w:rsidTr="004046F0">
        <w:trPr>
          <w:trHeight w:val="300"/>
        </w:trPr>
        <w:tc>
          <w:tcPr>
            <w:tcW w:w="9026" w:type="dxa"/>
            <w:gridSpan w:val="3"/>
            <w:tcBorders>
              <w:top w:val="nil"/>
              <w:left w:val="nil"/>
              <w:bottom w:val="nil"/>
              <w:right w:val="nil"/>
            </w:tcBorders>
            <w:shd w:val="clear" w:color="auto" w:fill="auto"/>
            <w:noWrap/>
            <w:vAlign w:val="center"/>
          </w:tcPr>
          <w:p w14:paraId="4531E9D8"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Males – 149 new claims, $9.6m</w:t>
            </w:r>
          </w:p>
        </w:tc>
      </w:tr>
      <w:tr w:rsidR="00802E99" w:rsidRPr="00FC08D5" w14:paraId="7ED0F52E" w14:textId="77777777" w:rsidTr="004046F0">
        <w:trPr>
          <w:trHeight w:val="300"/>
        </w:trPr>
        <w:tc>
          <w:tcPr>
            <w:tcW w:w="9026" w:type="dxa"/>
            <w:gridSpan w:val="3"/>
            <w:tcBorders>
              <w:top w:val="nil"/>
              <w:left w:val="nil"/>
              <w:bottom w:val="nil"/>
              <w:right w:val="nil"/>
            </w:tcBorders>
            <w:shd w:val="clear" w:color="auto" w:fill="auto"/>
            <w:noWrap/>
            <w:vAlign w:val="center"/>
          </w:tcPr>
          <w:p w14:paraId="37A5D35E"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Females – 278 new claims, $18.5m</w:t>
            </w:r>
          </w:p>
          <w:p w14:paraId="6FAA9988"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The most common mental stress cause for both genders was exposure to trauma.</w:t>
            </w:r>
          </w:p>
        </w:tc>
      </w:tr>
      <w:tr w:rsidR="00802E99" w:rsidRPr="00FC08D5" w14:paraId="6DFCD5EF" w14:textId="77777777" w:rsidTr="004046F0">
        <w:trPr>
          <w:trHeight w:val="300"/>
        </w:trPr>
        <w:tc>
          <w:tcPr>
            <w:tcW w:w="4113" w:type="dxa"/>
            <w:tcBorders>
              <w:top w:val="nil"/>
              <w:left w:val="nil"/>
              <w:bottom w:val="nil"/>
              <w:right w:val="nil"/>
            </w:tcBorders>
            <w:shd w:val="clear" w:color="auto" w:fill="auto"/>
            <w:noWrap/>
            <w:vAlign w:val="center"/>
          </w:tcPr>
          <w:p w14:paraId="315AF2CD" w14:textId="77777777" w:rsidR="00802E99" w:rsidRPr="00FC08D5" w:rsidRDefault="00802E99" w:rsidP="00FC08D5">
            <w:pPr>
              <w:jc w:val="left"/>
              <w:rPr>
                <w:rFonts w:ascii="Arial" w:hAnsi="Arial" w:cs="Arial"/>
                <w:color w:val="000000"/>
                <w:szCs w:val="24"/>
                <w:lang w:eastAsia="en-AU"/>
              </w:rPr>
            </w:pPr>
          </w:p>
        </w:tc>
        <w:tc>
          <w:tcPr>
            <w:tcW w:w="1955" w:type="dxa"/>
            <w:tcBorders>
              <w:top w:val="nil"/>
              <w:left w:val="nil"/>
              <w:bottom w:val="nil"/>
              <w:right w:val="nil"/>
            </w:tcBorders>
            <w:shd w:val="clear" w:color="auto" w:fill="auto"/>
            <w:noWrap/>
            <w:vAlign w:val="bottom"/>
          </w:tcPr>
          <w:p w14:paraId="09217D84" w14:textId="77777777" w:rsidR="00802E99" w:rsidRPr="00FC08D5" w:rsidRDefault="00802E99" w:rsidP="00FC08D5">
            <w:pPr>
              <w:jc w:val="left"/>
              <w:rPr>
                <w:sz w:val="20"/>
                <w:lang w:eastAsia="en-AU"/>
              </w:rPr>
            </w:pPr>
          </w:p>
        </w:tc>
        <w:tc>
          <w:tcPr>
            <w:tcW w:w="2958" w:type="dxa"/>
            <w:tcBorders>
              <w:top w:val="nil"/>
              <w:left w:val="nil"/>
              <w:bottom w:val="nil"/>
              <w:right w:val="nil"/>
            </w:tcBorders>
            <w:shd w:val="clear" w:color="auto" w:fill="auto"/>
            <w:noWrap/>
            <w:vAlign w:val="bottom"/>
          </w:tcPr>
          <w:p w14:paraId="64D8D8AA" w14:textId="77777777" w:rsidR="00802E99" w:rsidRPr="00FC08D5" w:rsidRDefault="00802E99" w:rsidP="00FC08D5">
            <w:pPr>
              <w:jc w:val="left"/>
              <w:rPr>
                <w:sz w:val="20"/>
                <w:lang w:eastAsia="en-AU"/>
              </w:rPr>
            </w:pPr>
          </w:p>
        </w:tc>
      </w:tr>
      <w:tr w:rsidR="00802E99" w:rsidRPr="00FC08D5" w14:paraId="3D6AF992" w14:textId="77777777" w:rsidTr="004046F0">
        <w:trPr>
          <w:trHeight w:val="300"/>
        </w:trPr>
        <w:tc>
          <w:tcPr>
            <w:tcW w:w="6068" w:type="dxa"/>
            <w:gridSpan w:val="2"/>
            <w:tcBorders>
              <w:top w:val="nil"/>
              <w:left w:val="nil"/>
              <w:bottom w:val="nil"/>
              <w:right w:val="nil"/>
            </w:tcBorders>
            <w:shd w:val="clear" w:color="auto" w:fill="auto"/>
            <w:noWrap/>
            <w:vAlign w:val="center"/>
          </w:tcPr>
          <w:p w14:paraId="17A82C69"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Ages 41-50 - $71,422 average cost per claim</w:t>
            </w:r>
          </w:p>
        </w:tc>
        <w:tc>
          <w:tcPr>
            <w:tcW w:w="2958" w:type="dxa"/>
            <w:tcBorders>
              <w:top w:val="nil"/>
              <w:left w:val="nil"/>
              <w:bottom w:val="nil"/>
              <w:right w:val="nil"/>
            </w:tcBorders>
            <w:shd w:val="clear" w:color="auto" w:fill="auto"/>
            <w:noWrap/>
            <w:vAlign w:val="bottom"/>
          </w:tcPr>
          <w:p w14:paraId="29BC71EA" w14:textId="77777777" w:rsidR="00802E99" w:rsidRPr="00FC08D5" w:rsidRDefault="00802E99" w:rsidP="00FC08D5">
            <w:pPr>
              <w:jc w:val="left"/>
              <w:rPr>
                <w:rFonts w:ascii="Arial" w:hAnsi="Arial" w:cs="Arial"/>
                <w:color w:val="000000"/>
                <w:szCs w:val="24"/>
                <w:lang w:eastAsia="en-AU"/>
              </w:rPr>
            </w:pPr>
          </w:p>
        </w:tc>
      </w:tr>
      <w:tr w:rsidR="00802E99" w:rsidRPr="00FC08D5" w14:paraId="5A9BCF80" w14:textId="77777777" w:rsidTr="004046F0">
        <w:trPr>
          <w:trHeight w:val="300"/>
        </w:trPr>
        <w:tc>
          <w:tcPr>
            <w:tcW w:w="6068" w:type="dxa"/>
            <w:gridSpan w:val="2"/>
            <w:tcBorders>
              <w:top w:val="nil"/>
              <w:left w:val="nil"/>
              <w:bottom w:val="nil"/>
              <w:right w:val="nil"/>
            </w:tcBorders>
            <w:shd w:val="clear" w:color="auto" w:fill="auto"/>
            <w:noWrap/>
            <w:vAlign w:val="center"/>
          </w:tcPr>
          <w:p w14:paraId="4BF52E87"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Ages 30 and under - $35,238 average cost per claim</w:t>
            </w:r>
          </w:p>
        </w:tc>
        <w:tc>
          <w:tcPr>
            <w:tcW w:w="2958" w:type="dxa"/>
            <w:tcBorders>
              <w:top w:val="nil"/>
              <w:left w:val="nil"/>
              <w:bottom w:val="nil"/>
              <w:right w:val="nil"/>
            </w:tcBorders>
            <w:shd w:val="clear" w:color="auto" w:fill="auto"/>
            <w:noWrap/>
            <w:vAlign w:val="bottom"/>
          </w:tcPr>
          <w:p w14:paraId="1806DEBE" w14:textId="77777777" w:rsidR="00802E99" w:rsidRPr="00FC08D5" w:rsidRDefault="00802E99" w:rsidP="00FC08D5">
            <w:pPr>
              <w:jc w:val="left"/>
              <w:rPr>
                <w:rFonts w:ascii="Arial" w:hAnsi="Arial" w:cs="Arial"/>
                <w:color w:val="000000"/>
                <w:szCs w:val="24"/>
                <w:lang w:eastAsia="en-AU"/>
              </w:rPr>
            </w:pPr>
          </w:p>
        </w:tc>
      </w:tr>
      <w:tr w:rsidR="00802E99" w:rsidRPr="00FC08D5" w14:paraId="5714C7BF" w14:textId="77777777" w:rsidTr="004046F0">
        <w:trPr>
          <w:trHeight w:val="300"/>
        </w:trPr>
        <w:tc>
          <w:tcPr>
            <w:tcW w:w="9026" w:type="dxa"/>
            <w:gridSpan w:val="3"/>
            <w:tcBorders>
              <w:top w:val="nil"/>
              <w:left w:val="nil"/>
              <w:bottom w:val="nil"/>
              <w:right w:val="nil"/>
            </w:tcBorders>
            <w:shd w:val="clear" w:color="auto" w:fill="auto"/>
            <w:noWrap/>
            <w:vAlign w:val="center"/>
            <w:hideMark/>
          </w:tcPr>
          <w:p w14:paraId="26744F59"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Injured workers with mental stress claims took an average of 133 days off work in 2018 compared to 69 days for all other lost time injury claims</w:t>
            </w:r>
          </w:p>
        </w:tc>
      </w:tr>
      <w:tr w:rsidR="00802E99" w:rsidRPr="00FC08D5" w14:paraId="41549091" w14:textId="77777777" w:rsidTr="004046F0">
        <w:trPr>
          <w:trHeight w:val="300"/>
        </w:trPr>
        <w:tc>
          <w:tcPr>
            <w:tcW w:w="4113" w:type="dxa"/>
            <w:tcBorders>
              <w:top w:val="nil"/>
              <w:left w:val="nil"/>
              <w:bottom w:val="nil"/>
              <w:right w:val="nil"/>
            </w:tcBorders>
            <w:shd w:val="clear" w:color="auto" w:fill="auto"/>
            <w:noWrap/>
            <w:vAlign w:val="center"/>
          </w:tcPr>
          <w:p w14:paraId="533FCFFD" w14:textId="77777777" w:rsidR="00802E99" w:rsidRPr="00FC08D5" w:rsidRDefault="00802E99" w:rsidP="00FC08D5">
            <w:pPr>
              <w:jc w:val="left"/>
              <w:rPr>
                <w:rFonts w:ascii="Arial" w:hAnsi="Arial" w:cs="Arial"/>
                <w:color w:val="000000"/>
                <w:szCs w:val="24"/>
                <w:lang w:eastAsia="en-AU"/>
              </w:rPr>
            </w:pPr>
          </w:p>
        </w:tc>
        <w:tc>
          <w:tcPr>
            <w:tcW w:w="1955" w:type="dxa"/>
            <w:tcBorders>
              <w:top w:val="nil"/>
              <w:left w:val="nil"/>
              <w:bottom w:val="nil"/>
              <w:right w:val="nil"/>
            </w:tcBorders>
            <w:shd w:val="clear" w:color="auto" w:fill="auto"/>
            <w:noWrap/>
            <w:vAlign w:val="bottom"/>
          </w:tcPr>
          <w:p w14:paraId="521B0270" w14:textId="77777777" w:rsidR="00802E99" w:rsidRPr="00FC08D5" w:rsidRDefault="00802E99" w:rsidP="00FC08D5">
            <w:pPr>
              <w:jc w:val="left"/>
              <w:rPr>
                <w:sz w:val="20"/>
                <w:lang w:eastAsia="en-AU"/>
              </w:rPr>
            </w:pPr>
          </w:p>
        </w:tc>
        <w:tc>
          <w:tcPr>
            <w:tcW w:w="2958" w:type="dxa"/>
            <w:tcBorders>
              <w:top w:val="nil"/>
              <w:left w:val="nil"/>
              <w:bottom w:val="nil"/>
              <w:right w:val="nil"/>
            </w:tcBorders>
            <w:shd w:val="clear" w:color="auto" w:fill="auto"/>
            <w:noWrap/>
            <w:vAlign w:val="bottom"/>
          </w:tcPr>
          <w:p w14:paraId="7139613F" w14:textId="77777777" w:rsidR="00802E99" w:rsidRPr="00FC08D5" w:rsidRDefault="00802E99" w:rsidP="00FC08D5">
            <w:pPr>
              <w:jc w:val="left"/>
              <w:rPr>
                <w:sz w:val="20"/>
                <w:lang w:eastAsia="en-AU"/>
              </w:rPr>
            </w:pPr>
          </w:p>
        </w:tc>
      </w:tr>
      <w:tr w:rsidR="00802E99" w:rsidRPr="00FC08D5" w14:paraId="43A51EE2" w14:textId="77777777" w:rsidTr="004046F0">
        <w:trPr>
          <w:trHeight w:val="300"/>
        </w:trPr>
        <w:tc>
          <w:tcPr>
            <w:tcW w:w="9026" w:type="dxa"/>
            <w:gridSpan w:val="3"/>
            <w:tcBorders>
              <w:top w:val="nil"/>
              <w:left w:val="nil"/>
              <w:bottom w:val="nil"/>
              <w:right w:val="nil"/>
            </w:tcBorders>
            <w:shd w:val="clear" w:color="auto" w:fill="auto"/>
            <w:noWrap/>
            <w:vAlign w:val="center"/>
          </w:tcPr>
          <w:p w14:paraId="643AED0E"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In 2018, mental stress claims made up 9% of new claims in the RiskCover Fund but 23% of the cost</w:t>
            </w:r>
          </w:p>
        </w:tc>
      </w:tr>
      <w:tr w:rsidR="00802E99" w:rsidRPr="00FC08D5" w14:paraId="7AF43E8A" w14:textId="77777777" w:rsidTr="004046F0">
        <w:trPr>
          <w:trHeight w:val="300"/>
        </w:trPr>
        <w:tc>
          <w:tcPr>
            <w:tcW w:w="4113" w:type="dxa"/>
            <w:tcBorders>
              <w:top w:val="nil"/>
              <w:left w:val="nil"/>
              <w:bottom w:val="nil"/>
              <w:right w:val="nil"/>
            </w:tcBorders>
            <w:shd w:val="clear" w:color="auto" w:fill="auto"/>
            <w:noWrap/>
            <w:vAlign w:val="center"/>
            <w:hideMark/>
          </w:tcPr>
          <w:p w14:paraId="309E940D" w14:textId="77777777" w:rsidR="00802E99" w:rsidRPr="00FC08D5" w:rsidRDefault="00802E99" w:rsidP="00FC08D5">
            <w:pPr>
              <w:jc w:val="left"/>
              <w:rPr>
                <w:rFonts w:ascii="Arial" w:hAnsi="Arial" w:cs="Arial"/>
                <w:color w:val="000000"/>
                <w:szCs w:val="24"/>
                <w:lang w:eastAsia="en-AU"/>
              </w:rPr>
            </w:pPr>
          </w:p>
        </w:tc>
        <w:tc>
          <w:tcPr>
            <w:tcW w:w="1955" w:type="dxa"/>
            <w:tcBorders>
              <w:top w:val="nil"/>
              <w:left w:val="nil"/>
              <w:bottom w:val="nil"/>
              <w:right w:val="nil"/>
            </w:tcBorders>
            <w:shd w:val="clear" w:color="auto" w:fill="auto"/>
            <w:noWrap/>
            <w:vAlign w:val="bottom"/>
            <w:hideMark/>
          </w:tcPr>
          <w:p w14:paraId="4EA2894B" w14:textId="77777777" w:rsidR="00802E99" w:rsidRPr="00FC08D5" w:rsidRDefault="00802E99" w:rsidP="00FC08D5">
            <w:pPr>
              <w:jc w:val="left"/>
              <w:rPr>
                <w:sz w:val="20"/>
                <w:lang w:eastAsia="en-AU"/>
              </w:rPr>
            </w:pPr>
          </w:p>
        </w:tc>
        <w:tc>
          <w:tcPr>
            <w:tcW w:w="2958" w:type="dxa"/>
            <w:tcBorders>
              <w:top w:val="nil"/>
              <w:left w:val="nil"/>
              <w:bottom w:val="nil"/>
              <w:right w:val="nil"/>
            </w:tcBorders>
            <w:shd w:val="clear" w:color="auto" w:fill="auto"/>
            <w:noWrap/>
            <w:vAlign w:val="bottom"/>
            <w:hideMark/>
          </w:tcPr>
          <w:p w14:paraId="4C79E287" w14:textId="77777777" w:rsidR="00802E99" w:rsidRPr="00FC08D5" w:rsidRDefault="00802E99" w:rsidP="00FC08D5">
            <w:pPr>
              <w:jc w:val="left"/>
              <w:rPr>
                <w:sz w:val="20"/>
                <w:lang w:eastAsia="en-AU"/>
              </w:rPr>
            </w:pPr>
          </w:p>
        </w:tc>
      </w:tr>
      <w:tr w:rsidR="00802E99" w:rsidRPr="00FC08D5" w14:paraId="1561C138" w14:textId="77777777" w:rsidTr="004046F0">
        <w:trPr>
          <w:trHeight w:val="315"/>
        </w:trPr>
        <w:tc>
          <w:tcPr>
            <w:tcW w:w="4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02AC0"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 </w:t>
            </w:r>
          </w:p>
        </w:tc>
        <w:tc>
          <w:tcPr>
            <w:tcW w:w="1955" w:type="dxa"/>
            <w:tcBorders>
              <w:top w:val="single" w:sz="4" w:space="0" w:color="auto"/>
              <w:left w:val="nil"/>
              <w:bottom w:val="single" w:sz="4" w:space="0" w:color="auto"/>
              <w:right w:val="single" w:sz="4" w:space="0" w:color="auto"/>
            </w:tcBorders>
            <w:shd w:val="clear" w:color="auto" w:fill="auto"/>
            <w:noWrap/>
            <w:vAlign w:val="center"/>
            <w:hideMark/>
          </w:tcPr>
          <w:p w14:paraId="1244A98C"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Cost</w:t>
            </w:r>
          </w:p>
        </w:tc>
        <w:tc>
          <w:tcPr>
            <w:tcW w:w="2958" w:type="dxa"/>
            <w:tcBorders>
              <w:top w:val="single" w:sz="4" w:space="0" w:color="auto"/>
              <w:left w:val="nil"/>
              <w:bottom w:val="single" w:sz="4" w:space="0" w:color="auto"/>
              <w:right w:val="single" w:sz="4" w:space="0" w:color="auto"/>
            </w:tcBorders>
            <w:shd w:val="clear" w:color="auto" w:fill="auto"/>
            <w:noWrap/>
            <w:vAlign w:val="center"/>
            <w:hideMark/>
          </w:tcPr>
          <w:p w14:paraId="6F291043"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w:t>
            </w:r>
          </w:p>
        </w:tc>
      </w:tr>
      <w:tr w:rsidR="00802E99" w:rsidRPr="00FC08D5" w14:paraId="55F59CA9"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623E43F4"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Work Pressure</w:t>
            </w:r>
          </w:p>
        </w:tc>
        <w:tc>
          <w:tcPr>
            <w:tcW w:w="1955" w:type="dxa"/>
            <w:tcBorders>
              <w:top w:val="nil"/>
              <w:left w:val="nil"/>
              <w:bottom w:val="single" w:sz="4" w:space="0" w:color="auto"/>
              <w:right w:val="single" w:sz="4" w:space="0" w:color="auto"/>
            </w:tcBorders>
            <w:shd w:val="clear" w:color="auto" w:fill="auto"/>
            <w:noWrap/>
            <w:vAlign w:val="center"/>
            <w:hideMark/>
          </w:tcPr>
          <w:p w14:paraId="09C1D3D7"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$5.8m</w:t>
            </w:r>
          </w:p>
        </w:tc>
        <w:tc>
          <w:tcPr>
            <w:tcW w:w="2958" w:type="dxa"/>
            <w:tcBorders>
              <w:top w:val="nil"/>
              <w:left w:val="nil"/>
              <w:bottom w:val="single" w:sz="4" w:space="0" w:color="auto"/>
              <w:right w:val="single" w:sz="4" w:space="0" w:color="auto"/>
            </w:tcBorders>
            <w:shd w:val="clear" w:color="auto" w:fill="auto"/>
            <w:noWrap/>
            <w:vAlign w:val="center"/>
            <w:hideMark/>
          </w:tcPr>
          <w:p w14:paraId="6BE89DAB"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21%</w:t>
            </w:r>
          </w:p>
        </w:tc>
      </w:tr>
      <w:tr w:rsidR="00802E99" w:rsidRPr="00FC08D5" w14:paraId="674E6381"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4A87DCD4"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Exposure to Trauma</w:t>
            </w:r>
          </w:p>
        </w:tc>
        <w:tc>
          <w:tcPr>
            <w:tcW w:w="1955" w:type="dxa"/>
            <w:tcBorders>
              <w:top w:val="nil"/>
              <w:left w:val="nil"/>
              <w:bottom w:val="single" w:sz="4" w:space="0" w:color="auto"/>
              <w:right w:val="single" w:sz="4" w:space="0" w:color="auto"/>
            </w:tcBorders>
            <w:shd w:val="clear" w:color="auto" w:fill="auto"/>
            <w:noWrap/>
            <w:vAlign w:val="center"/>
            <w:hideMark/>
          </w:tcPr>
          <w:p w14:paraId="592F9E43"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$8.8m</w:t>
            </w:r>
          </w:p>
        </w:tc>
        <w:tc>
          <w:tcPr>
            <w:tcW w:w="2958" w:type="dxa"/>
            <w:tcBorders>
              <w:top w:val="nil"/>
              <w:left w:val="nil"/>
              <w:bottom w:val="single" w:sz="4" w:space="0" w:color="auto"/>
              <w:right w:val="single" w:sz="4" w:space="0" w:color="auto"/>
            </w:tcBorders>
            <w:shd w:val="clear" w:color="auto" w:fill="auto"/>
            <w:noWrap/>
            <w:vAlign w:val="center"/>
            <w:hideMark/>
          </w:tcPr>
          <w:p w14:paraId="12D743BD"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31%</w:t>
            </w:r>
          </w:p>
        </w:tc>
      </w:tr>
      <w:tr w:rsidR="00802E99" w:rsidRPr="00FC08D5" w14:paraId="300EEFA3"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454C2E65"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Exposure to Violence</w:t>
            </w:r>
          </w:p>
        </w:tc>
        <w:tc>
          <w:tcPr>
            <w:tcW w:w="1955" w:type="dxa"/>
            <w:tcBorders>
              <w:top w:val="nil"/>
              <w:left w:val="nil"/>
              <w:bottom w:val="single" w:sz="4" w:space="0" w:color="auto"/>
              <w:right w:val="single" w:sz="4" w:space="0" w:color="auto"/>
            </w:tcBorders>
            <w:shd w:val="clear" w:color="auto" w:fill="auto"/>
            <w:noWrap/>
            <w:vAlign w:val="center"/>
            <w:hideMark/>
          </w:tcPr>
          <w:p w14:paraId="169CAD10"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$2.9m</w:t>
            </w:r>
          </w:p>
        </w:tc>
        <w:tc>
          <w:tcPr>
            <w:tcW w:w="2958" w:type="dxa"/>
            <w:tcBorders>
              <w:top w:val="nil"/>
              <w:left w:val="nil"/>
              <w:bottom w:val="single" w:sz="4" w:space="0" w:color="auto"/>
              <w:right w:val="single" w:sz="4" w:space="0" w:color="auto"/>
            </w:tcBorders>
            <w:shd w:val="clear" w:color="auto" w:fill="auto"/>
            <w:noWrap/>
            <w:vAlign w:val="center"/>
            <w:hideMark/>
          </w:tcPr>
          <w:p w14:paraId="13A80686"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10%</w:t>
            </w:r>
          </w:p>
        </w:tc>
      </w:tr>
      <w:tr w:rsidR="00802E99" w:rsidRPr="00FC08D5" w14:paraId="39EC2C41"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480C1974" w14:textId="77777777" w:rsidR="00802E99" w:rsidRPr="00FC08D5" w:rsidRDefault="00802E99" w:rsidP="00FC08D5">
            <w:pPr>
              <w:jc w:val="left"/>
              <w:rPr>
                <w:rFonts w:ascii="Arial" w:hAnsi="Arial" w:cs="Arial"/>
                <w:b/>
                <w:bCs/>
                <w:color w:val="000000"/>
                <w:szCs w:val="24"/>
                <w:lang w:eastAsia="en-AU"/>
              </w:rPr>
            </w:pPr>
            <w:proofErr w:type="spellStart"/>
            <w:r w:rsidRPr="00FC08D5">
              <w:rPr>
                <w:rFonts w:ascii="Arial" w:hAnsi="Arial" w:cs="Arial"/>
                <w:b/>
                <w:bCs/>
                <w:color w:val="000000"/>
                <w:szCs w:val="24"/>
                <w:lang w:eastAsia="en-AU"/>
              </w:rPr>
              <w:t>Harrassment</w:t>
            </w:r>
            <w:proofErr w:type="spellEnd"/>
          </w:p>
        </w:tc>
        <w:tc>
          <w:tcPr>
            <w:tcW w:w="1955" w:type="dxa"/>
            <w:tcBorders>
              <w:top w:val="nil"/>
              <w:left w:val="nil"/>
              <w:bottom w:val="single" w:sz="4" w:space="0" w:color="auto"/>
              <w:right w:val="single" w:sz="4" w:space="0" w:color="auto"/>
            </w:tcBorders>
            <w:shd w:val="clear" w:color="auto" w:fill="auto"/>
            <w:noWrap/>
            <w:vAlign w:val="center"/>
            <w:hideMark/>
          </w:tcPr>
          <w:p w14:paraId="13395DCC"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$4.7m</w:t>
            </w:r>
          </w:p>
        </w:tc>
        <w:tc>
          <w:tcPr>
            <w:tcW w:w="2958" w:type="dxa"/>
            <w:tcBorders>
              <w:top w:val="nil"/>
              <w:left w:val="nil"/>
              <w:bottom w:val="single" w:sz="4" w:space="0" w:color="auto"/>
              <w:right w:val="single" w:sz="4" w:space="0" w:color="auto"/>
            </w:tcBorders>
            <w:shd w:val="clear" w:color="auto" w:fill="auto"/>
            <w:noWrap/>
            <w:vAlign w:val="center"/>
            <w:hideMark/>
          </w:tcPr>
          <w:p w14:paraId="1AD008BE"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17%</w:t>
            </w:r>
          </w:p>
        </w:tc>
      </w:tr>
      <w:tr w:rsidR="00802E99" w:rsidRPr="00FC08D5" w14:paraId="6B7B3B3E"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346A7B2D"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Other Factors</w:t>
            </w:r>
          </w:p>
        </w:tc>
        <w:tc>
          <w:tcPr>
            <w:tcW w:w="1955" w:type="dxa"/>
            <w:tcBorders>
              <w:top w:val="nil"/>
              <w:left w:val="nil"/>
              <w:bottom w:val="single" w:sz="4" w:space="0" w:color="auto"/>
              <w:right w:val="single" w:sz="4" w:space="0" w:color="auto"/>
            </w:tcBorders>
            <w:shd w:val="clear" w:color="auto" w:fill="auto"/>
            <w:noWrap/>
            <w:vAlign w:val="center"/>
            <w:hideMark/>
          </w:tcPr>
          <w:p w14:paraId="740444B6"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$5.9m</w:t>
            </w:r>
          </w:p>
        </w:tc>
        <w:tc>
          <w:tcPr>
            <w:tcW w:w="2958" w:type="dxa"/>
            <w:tcBorders>
              <w:top w:val="nil"/>
              <w:left w:val="nil"/>
              <w:bottom w:val="single" w:sz="4" w:space="0" w:color="auto"/>
              <w:right w:val="single" w:sz="4" w:space="0" w:color="auto"/>
            </w:tcBorders>
            <w:shd w:val="clear" w:color="auto" w:fill="auto"/>
            <w:noWrap/>
            <w:vAlign w:val="center"/>
            <w:hideMark/>
          </w:tcPr>
          <w:p w14:paraId="62CCF260"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21%</w:t>
            </w:r>
          </w:p>
        </w:tc>
      </w:tr>
      <w:tr w:rsidR="00802E99" w:rsidRPr="00FC08D5" w14:paraId="5EFBEE13" w14:textId="77777777" w:rsidTr="004046F0">
        <w:trPr>
          <w:trHeight w:val="300"/>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719CA8B7"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 </w:t>
            </w:r>
          </w:p>
        </w:tc>
        <w:tc>
          <w:tcPr>
            <w:tcW w:w="1955" w:type="dxa"/>
            <w:tcBorders>
              <w:top w:val="nil"/>
              <w:left w:val="nil"/>
              <w:bottom w:val="single" w:sz="4" w:space="0" w:color="auto"/>
              <w:right w:val="single" w:sz="4" w:space="0" w:color="auto"/>
            </w:tcBorders>
            <w:shd w:val="clear" w:color="auto" w:fill="auto"/>
            <w:noWrap/>
            <w:vAlign w:val="bottom"/>
            <w:hideMark/>
          </w:tcPr>
          <w:p w14:paraId="2201639A"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 </w:t>
            </w:r>
          </w:p>
        </w:tc>
        <w:tc>
          <w:tcPr>
            <w:tcW w:w="2958" w:type="dxa"/>
            <w:tcBorders>
              <w:top w:val="nil"/>
              <w:left w:val="nil"/>
              <w:bottom w:val="single" w:sz="4" w:space="0" w:color="auto"/>
              <w:right w:val="single" w:sz="4" w:space="0" w:color="auto"/>
            </w:tcBorders>
            <w:shd w:val="clear" w:color="auto" w:fill="auto"/>
            <w:noWrap/>
            <w:vAlign w:val="bottom"/>
            <w:hideMark/>
          </w:tcPr>
          <w:p w14:paraId="2A56CCCF"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 </w:t>
            </w:r>
          </w:p>
        </w:tc>
      </w:tr>
      <w:tr w:rsidR="00802E99" w:rsidRPr="00FC08D5" w14:paraId="6AE37AA3" w14:textId="77777777" w:rsidTr="004046F0">
        <w:trPr>
          <w:trHeight w:val="315"/>
        </w:trPr>
        <w:tc>
          <w:tcPr>
            <w:tcW w:w="90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936AF"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2018 Profile - Mental Stress Claims</w:t>
            </w:r>
          </w:p>
        </w:tc>
      </w:tr>
      <w:tr w:rsidR="00802E99" w:rsidRPr="00FC08D5" w14:paraId="2403CDF0"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33E4BFB8"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 </w:t>
            </w:r>
          </w:p>
        </w:tc>
        <w:tc>
          <w:tcPr>
            <w:tcW w:w="1955" w:type="dxa"/>
            <w:tcBorders>
              <w:top w:val="nil"/>
              <w:left w:val="nil"/>
              <w:bottom w:val="single" w:sz="4" w:space="0" w:color="auto"/>
              <w:right w:val="single" w:sz="4" w:space="0" w:color="auto"/>
            </w:tcBorders>
            <w:shd w:val="clear" w:color="auto" w:fill="auto"/>
            <w:noWrap/>
            <w:vAlign w:val="center"/>
            <w:hideMark/>
          </w:tcPr>
          <w:p w14:paraId="699BD407"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All Claims</w:t>
            </w:r>
          </w:p>
        </w:tc>
        <w:tc>
          <w:tcPr>
            <w:tcW w:w="2958" w:type="dxa"/>
            <w:tcBorders>
              <w:top w:val="nil"/>
              <w:left w:val="nil"/>
              <w:bottom w:val="single" w:sz="4" w:space="0" w:color="auto"/>
              <w:right w:val="single" w:sz="4" w:space="0" w:color="auto"/>
            </w:tcBorders>
            <w:shd w:val="clear" w:color="auto" w:fill="auto"/>
            <w:noWrap/>
            <w:vAlign w:val="center"/>
            <w:hideMark/>
          </w:tcPr>
          <w:p w14:paraId="1A21F6BF"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Mental Stress</w:t>
            </w:r>
          </w:p>
        </w:tc>
      </w:tr>
      <w:tr w:rsidR="00802E99" w:rsidRPr="00FC08D5" w14:paraId="5167094B"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41002DC7"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Number of claims</w:t>
            </w:r>
          </w:p>
        </w:tc>
        <w:tc>
          <w:tcPr>
            <w:tcW w:w="1955" w:type="dxa"/>
            <w:tcBorders>
              <w:top w:val="nil"/>
              <w:left w:val="nil"/>
              <w:bottom w:val="single" w:sz="4" w:space="0" w:color="auto"/>
              <w:right w:val="single" w:sz="4" w:space="0" w:color="auto"/>
            </w:tcBorders>
            <w:shd w:val="clear" w:color="auto" w:fill="auto"/>
            <w:noWrap/>
            <w:vAlign w:val="center"/>
            <w:hideMark/>
          </w:tcPr>
          <w:p w14:paraId="3EE910F9"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4,704</w:t>
            </w:r>
          </w:p>
        </w:tc>
        <w:tc>
          <w:tcPr>
            <w:tcW w:w="2958" w:type="dxa"/>
            <w:tcBorders>
              <w:top w:val="nil"/>
              <w:left w:val="nil"/>
              <w:bottom w:val="single" w:sz="4" w:space="0" w:color="auto"/>
              <w:right w:val="single" w:sz="4" w:space="0" w:color="auto"/>
            </w:tcBorders>
            <w:shd w:val="clear" w:color="auto" w:fill="auto"/>
            <w:noWrap/>
            <w:vAlign w:val="center"/>
            <w:hideMark/>
          </w:tcPr>
          <w:p w14:paraId="0E3CE698"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427 (9.1%)</w:t>
            </w:r>
          </w:p>
        </w:tc>
      </w:tr>
      <w:tr w:rsidR="00802E99" w:rsidRPr="00FC08D5" w14:paraId="5E3BA0D7"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78DC654C"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LTI claims</w:t>
            </w:r>
          </w:p>
        </w:tc>
        <w:tc>
          <w:tcPr>
            <w:tcW w:w="1955" w:type="dxa"/>
            <w:tcBorders>
              <w:top w:val="nil"/>
              <w:left w:val="nil"/>
              <w:bottom w:val="single" w:sz="4" w:space="0" w:color="auto"/>
              <w:right w:val="single" w:sz="4" w:space="0" w:color="auto"/>
            </w:tcBorders>
            <w:shd w:val="clear" w:color="auto" w:fill="auto"/>
            <w:noWrap/>
            <w:vAlign w:val="center"/>
            <w:hideMark/>
          </w:tcPr>
          <w:p w14:paraId="3A2719C2"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2,963</w:t>
            </w:r>
          </w:p>
        </w:tc>
        <w:tc>
          <w:tcPr>
            <w:tcW w:w="2958" w:type="dxa"/>
            <w:tcBorders>
              <w:top w:val="nil"/>
              <w:left w:val="nil"/>
              <w:bottom w:val="single" w:sz="4" w:space="0" w:color="auto"/>
              <w:right w:val="single" w:sz="4" w:space="0" w:color="auto"/>
            </w:tcBorders>
            <w:shd w:val="clear" w:color="auto" w:fill="auto"/>
            <w:noWrap/>
            <w:vAlign w:val="center"/>
            <w:hideMark/>
          </w:tcPr>
          <w:p w14:paraId="0913F8C7"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347 (11.7%)</w:t>
            </w:r>
          </w:p>
        </w:tc>
      </w:tr>
      <w:tr w:rsidR="00802E99" w:rsidRPr="00FC08D5" w14:paraId="2E5CDDA9"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30963AF0"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Severe claims</w:t>
            </w:r>
          </w:p>
        </w:tc>
        <w:tc>
          <w:tcPr>
            <w:tcW w:w="1955" w:type="dxa"/>
            <w:tcBorders>
              <w:top w:val="nil"/>
              <w:left w:val="nil"/>
              <w:bottom w:val="single" w:sz="4" w:space="0" w:color="auto"/>
              <w:right w:val="single" w:sz="4" w:space="0" w:color="auto"/>
            </w:tcBorders>
            <w:shd w:val="clear" w:color="auto" w:fill="auto"/>
            <w:noWrap/>
            <w:vAlign w:val="center"/>
            <w:hideMark/>
          </w:tcPr>
          <w:p w14:paraId="0E5FD312"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1,065</w:t>
            </w:r>
          </w:p>
        </w:tc>
        <w:tc>
          <w:tcPr>
            <w:tcW w:w="2958" w:type="dxa"/>
            <w:tcBorders>
              <w:top w:val="nil"/>
              <w:left w:val="nil"/>
              <w:bottom w:val="single" w:sz="4" w:space="0" w:color="auto"/>
              <w:right w:val="single" w:sz="4" w:space="0" w:color="auto"/>
            </w:tcBorders>
            <w:shd w:val="clear" w:color="auto" w:fill="auto"/>
            <w:noWrap/>
            <w:vAlign w:val="center"/>
            <w:hideMark/>
          </w:tcPr>
          <w:p w14:paraId="0D3110C4"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219 (20.6%)</w:t>
            </w:r>
          </w:p>
        </w:tc>
      </w:tr>
      <w:tr w:rsidR="00802E99" w:rsidRPr="00FC08D5" w14:paraId="1A05031B"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3BB0678C"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Total estimated claims cost</w:t>
            </w:r>
          </w:p>
        </w:tc>
        <w:tc>
          <w:tcPr>
            <w:tcW w:w="1955" w:type="dxa"/>
            <w:tcBorders>
              <w:top w:val="nil"/>
              <w:left w:val="nil"/>
              <w:bottom w:val="single" w:sz="4" w:space="0" w:color="auto"/>
              <w:right w:val="single" w:sz="4" w:space="0" w:color="auto"/>
            </w:tcBorders>
            <w:shd w:val="clear" w:color="auto" w:fill="auto"/>
            <w:noWrap/>
            <w:vAlign w:val="center"/>
            <w:hideMark/>
          </w:tcPr>
          <w:p w14:paraId="798146D0"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$121,350,121</w:t>
            </w:r>
          </w:p>
        </w:tc>
        <w:tc>
          <w:tcPr>
            <w:tcW w:w="2958" w:type="dxa"/>
            <w:tcBorders>
              <w:top w:val="nil"/>
              <w:left w:val="nil"/>
              <w:bottom w:val="single" w:sz="4" w:space="0" w:color="auto"/>
              <w:right w:val="single" w:sz="4" w:space="0" w:color="auto"/>
            </w:tcBorders>
            <w:shd w:val="clear" w:color="auto" w:fill="auto"/>
            <w:noWrap/>
            <w:vAlign w:val="center"/>
            <w:hideMark/>
          </w:tcPr>
          <w:p w14:paraId="6F869B69"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$28,131,684 (23.2%)</w:t>
            </w:r>
          </w:p>
        </w:tc>
      </w:tr>
      <w:tr w:rsidR="00802E99" w:rsidRPr="00FC08D5" w14:paraId="7FD326F8"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tcPr>
          <w:p w14:paraId="4D54F54E"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Average claim cost</w:t>
            </w:r>
          </w:p>
        </w:tc>
        <w:tc>
          <w:tcPr>
            <w:tcW w:w="1955" w:type="dxa"/>
            <w:tcBorders>
              <w:top w:val="nil"/>
              <w:left w:val="nil"/>
              <w:bottom w:val="single" w:sz="4" w:space="0" w:color="auto"/>
              <w:right w:val="single" w:sz="4" w:space="0" w:color="auto"/>
            </w:tcBorders>
            <w:shd w:val="clear" w:color="auto" w:fill="auto"/>
            <w:noWrap/>
            <w:vAlign w:val="center"/>
          </w:tcPr>
          <w:p w14:paraId="4F538AA6"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$25,797</w:t>
            </w:r>
          </w:p>
        </w:tc>
        <w:tc>
          <w:tcPr>
            <w:tcW w:w="2958" w:type="dxa"/>
            <w:tcBorders>
              <w:top w:val="nil"/>
              <w:left w:val="nil"/>
              <w:bottom w:val="single" w:sz="4" w:space="0" w:color="auto"/>
              <w:right w:val="single" w:sz="4" w:space="0" w:color="auto"/>
            </w:tcBorders>
            <w:shd w:val="clear" w:color="auto" w:fill="auto"/>
            <w:noWrap/>
            <w:vAlign w:val="center"/>
          </w:tcPr>
          <w:p w14:paraId="52FAEFED"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$65,882</w:t>
            </w:r>
          </w:p>
        </w:tc>
      </w:tr>
      <w:tr w:rsidR="00802E99" w:rsidRPr="00FC08D5" w14:paraId="07265874"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628AEA0F"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Total days lost</w:t>
            </w:r>
          </w:p>
        </w:tc>
        <w:tc>
          <w:tcPr>
            <w:tcW w:w="1955" w:type="dxa"/>
            <w:tcBorders>
              <w:top w:val="nil"/>
              <w:left w:val="nil"/>
              <w:bottom w:val="single" w:sz="4" w:space="0" w:color="auto"/>
              <w:right w:val="single" w:sz="4" w:space="0" w:color="auto"/>
            </w:tcBorders>
            <w:shd w:val="clear" w:color="auto" w:fill="auto"/>
            <w:noWrap/>
            <w:vAlign w:val="center"/>
            <w:hideMark/>
          </w:tcPr>
          <w:p w14:paraId="064225EF"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203,669</w:t>
            </w:r>
          </w:p>
        </w:tc>
        <w:tc>
          <w:tcPr>
            <w:tcW w:w="2958" w:type="dxa"/>
            <w:tcBorders>
              <w:top w:val="nil"/>
              <w:left w:val="nil"/>
              <w:bottom w:val="single" w:sz="4" w:space="0" w:color="auto"/>
              <w:right w:val="single" w:sz="4" w:space="0" w:color="auto"/>
            </w:tcBorders>
            <w:shd w:val="clear" w:color="auto" w:fill="auto"/>
            <w:noWrap/>
            <w:vAlign w:val="center"/>
            <w:hideMark/>
          </w:tcPr>
          <w:p w14:paraId="32B5E531"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46,009 (22.6%)</w:t>
            </w:r>
          </w:p>
        </w:tc>
      </w:tr>
      <w:tr w:rsidR="00802E99" w:rsidRPr="00FC08D5" w14:paraId="69686867" w14:textId="77777777" w:rsidTr="004046F0">
        <w:trPr>
          <w:trHeight w:val="315"/>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14:paraId="651C10D6" w14:textId="77777777" w:rsidR="00802E99" w:rsidRPr="00FC08D5" w:rsidRDefault="00802E99" w:rsidP="00FC08D5">
            <w:pPr>
              <w:jc w:val="left"/>
              <w:rPr>
                <w:rFonts w:ascii="Arial" w:hAnsi="Arial" w:cs="Arial"/>
                <w:b/>
                <w:bCs/>
                <w:color w:val="000000"/>
                <w:szCs w:val="24"/>
                <w:lang w:eastAsia="en-AU"/>
              </w:rPr>
            </w:pPr>
            <w:r w:rsidRPr="00FC08D5">
              <w:rPr>
                <w:rFonts w:ascii="Arial" w:hAnsi="Arial" w:cs="Arial"/>
                <w:b/>
                <w:bCs/>
                <w:color w:val="000000"/>
                <w:szCs w:val="24"/>
                <w:lang w:eastAsia="en-AU"/>
              </w:rPr>
              <w:t>Average days lost per LTI</w:t>
            </w:r>
          </w:p>
        </w:tc>
        <w:tc>
          <w:tcPr>
            <w:tcW w:w="1955" w:type="dxa"/>
            <w:tcBorders>
              <w:top w:val="nil"/>
              <w:left w:val="nil"/>
              <w:bottom w:val="single" w:sz="4" w:space="0" w:color="auto"/>
              <w:right w:val="single" w:sz="4" w:space="0" w:color="auto"/>
            </w:tcBorders>
            <w:shd w:val="clear" w:color="auto" w:fill="auto"/>
            <w:noWrap/>
            <w:vAlign w:val="center"/>
            <w:hideMark/>
          </w:tcPr>
          <w:p w14:paraId="00BED283"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68.7</w:t>
            </w:r>
          </w:p>
        </w:tc>
        <w:tc>
          <w:tcPr>
            <w:tcW w:w="2958" w:type="dxa"/>
            <w:tcBorders>
              <w:top w:val="nil"/>
              <w:left w:val="nil"/>
              <w:bottom w:val="single" w:sz="4" w:space="0" w:color="auto"/>
              <w:right w:val="single" w:sz="4" w:space="0" w:color="auto"/>
            </w:tcBorders>
            <w:shd w:val="clear" w:color="auto" w:fill="auto"/>
            <w:noWrap/>
            <w:vAlign w:val="center"/>
            <w:hideMark/>
          </w:tcPr>
          <w:p w14:paraId="339EAD3A" w14:textId="77777777" w:rsidR="00802E99" w:rsidRPr="00FC08D5" w:rsidRDefault="00802E99" w:rsidP="00FC08D5">
            <w:pPr>
              <w:jc w:val="left"/>
              <w:rPr>
                <w:rFonts w:ascii="Arial" w:hAnsi="Arial" w:cs="Arial"/>
                <w:color w:val="000000"/>
                <w:szCs w:val="24"/>
                <w:lang w:eastAsia="en-AU"/>
              </w:rPr>
            </w:pPr>
            <w:r w:rsidRPr="00FC08D5">
              <w:rPr>
                <w:rFonts w:ascii="Arial" w:hAnsi="Arial" w:cs="Arial"/>
                <w:color w:val="000000"/>
                <w:szCs w:val="24"/>
                <w:lang w:eastAsia="en-AU"/>
              </w:rPr>
              <w:t>132.6</w:t>
            </w:r>
          </w:p>
        </w:tc>
      </w:tr>
    </w:tbl>
    <w:p w14:paraId="657A370E" w14:textId="77777777" w:rsidR="00802E99" w:rsidRPr="00FC08D5" w:rsidRDefault="00802E99" w:rsidP="00FC08D5">
      <w:pPr>
        <w:rPr>
          <w:rFonts w:ascii="Arial" w:hAnsi="Arial" w:cs="Arial"/>
          <w:b/>
          <w:szCs w:val="24"/>
        </w:rPr>
      </w:pPr>
    </w:p>
    <w:p w14:paraId="1C9F115E" w14:textId="77777777" w:rsidR="00802E99" w:rsidRPr="00FC08D5" w:rsidRDefault="00802E99" w:rsidP="00FC08D5">
      <w:pPr>
        <w:rPr>
          <w:rFonts w:ascii="Arial" w:hAnsi="Arial" w:cs="Arial"/>
          <w:szCs w:val="24"/>
        </w:rPr>
      </w:pPr>
      <w:r w:rsidRPr="00FC08D5">
        <w:rPr>
          <w:rFonts w:ascii="Arial" w:hAnsi="Arial" w:cs="Arial"/>
          <w:szCs w:val="24"/>
        </w:rPr>
        <w:t>LTI – Lost Time Injury</w:t>
      </w:r>
    </w:p>
    <w:p w14:paraId="1D6A119A" w14:textId="448CC287" w:rsidR="00802E99" w:rsidRPr="00BA11DD" w:rsidRDefault="00802E99" w:rsidP="00FC08D5">
      <w:pPr>
        <w:rPr>
          <w:rFonts w:ascii="Arial" w:hAnsi="Arial" w:cs="Arial"/>
          <w:szCs w:val="24"/>
        </w:rPr>
      </w:pPr>
      <w:r w:rsidRPr="00FC08D5">
        <w:rPr>
          <w:rFonts w:ascii="Arial" w:hAnsi="Arial" w:cs="Arial"/>
          <w:szCs w:val="24"/>
        </w:rPr>
        <w:t>Sever</w:t>
      </w:r>
      <w:r w:rsidR="00FC08D5" w:rsidRPr="00FC08D5">
        <w:rPr>
          <w:rFonts w:ascii="Arial" w:hAnsi="Arial" w:cs="Arial"/>
          <w:szCs w:val="24"/>
        </w:rPr>
        <w:t>e</w:t>
      </w:r>
      <w:r w:rsidRPr="00FC08D5">
        <w:rPr>
          <w:rFonts w:ascii="Arial" w:hAnsi="Arial" w:cs="Arial"/>
          <w:szCs w:val="24"/>
        </w:rPr>
        <w:t xml:space="preserve"> is greater than 60 days</w:t>
      </w:r>
    </w:p>
    <w:p w14:paraId="0931FB3E" w14:textId="77777777" w:rsidR="00802E99" w:rsidRDefault="00802E99" w:rsidP="00802E99">
      <w:pPr>
        <w:rPr>
          <w:rFonts w:ascii="Arial" w:hAnsi="Arial" w:cs="Arial"/>
          <w:b/>
          <w:szCs w:val="24"/>
        </w:rPr>
      </w:pPr>
    </w:p>
    <w:p w14:paraId="1B1CD5B9" w14:textId="670F8344" w:rsidR="00802E99" w:rsidRPr="00FC08D5" w:rsidRDefault="00802E99" w:rsidP="00FC08D5">
      <w:pPr>
        <w:pStyle w:val="ARHeading3"/>
      </w:pPr>
      <w:r w:rsidRPr="00EF7E33">
        <w:t>Claim Geography</w:t>
      </w:r>
    </w:p>
    <w:p w14:paraId="3C3FE429" w14:textId="77777777" w:rsidR="00802E99" w:rsidRDefault="00802E99" w:rsidP="00802E99">
      <w:pPr>
        <w:rPr>
          <w:rFonts w:ascii="Arial" w:hAnsi="Arial" w:cs="Arial"/>
          <w:color w:val="000000"/>
          <w:szCs w:val="24"/>
        </w:rPr>
      </w:pPr>
      <w:r w:rsidRPr="00483790">
        <w:rPr>
          <w:rFonts w:ascii="Arial" w:hAnsi="Arial" w:cs="Arial"/>
          <w:color w:val="000000"/>
          <w:szCs w:val="24"/>
        </w:rPr>
        <w:t xml:space="preserve">The maps on </w:t>
      </w:r>
      <w:r>
        <w:rPr>
          <w:rFonts w:ascii="Arial" w:hAnsi="Arial" w:cs="Arial"/>
          <w:color w:val="000000"/>
          <w:szCs w:val="24"/>
        </w:rPr>
        <w:t>the next two pages show</w:t>
      </w:r>
      <w:r w:rsidRPr="00483790">
        <w:rPr>
          <w:rFonts w:ascii="Arial" w:hAnsi="Arial" w:cs="Arial"/>
          <w:color w:val="000000"/>
          <w:szCs w:val="24"/>
        </w:rPr>
        <w:t xml:space="preserve"> workers’ compensation injury locations across the WA regions by number of </w:t>
      </w:r>
      <w:r>
        <w:rPr>
          <w:rFonts w:ascii="Arial" w:hAnsi="Arial" w:cs="Arial"/>
          <w:color w:val="000000"/>
          <w:szCs w:val="24"/>
        </w:rPr>
        <w:t xml:space="preserve">new </w:t>
      </w:r>
      <w:r w:rsidRPr="00483790">
        <w:rPr>
          <w:rFonts w:ascii="Arial" w:hAnsi="Arial" w:cs="Arial"/>
          <w:color w:val="000000"/>
          <w:szCs w:val="24"/>
        </w:rPr>
        <w:t xml:space="preserve">claims lodged and </w:t>
      </w:r>
      <w:r>
        <w:rPr>
          <w:rFonts w:ascii="Arial" w:hAnsi="Arial" w:cs="Arial"/>
          <w:color w:val="000000"/>
          <w:szCs w:val="24"/>
        </w:rPr>
        <w:t xml:space="preserve">total </w:t>
      </w:r>
      <w:r w:rsidRPr="00483790">
        <w:rPr>
          <w:rFonts w:ascii="Arial" w:hAnsi="Arial" w:cs="Arial"/>
          <w:color w:val="000000"/>
          <w:szCs w:val="24"/>
        </w:rPr>
        <w:t xml:space="preserve">payments </w:t>
      </w:r>
      <w:r>
        <w:rPr>
          <w:rFonts w:ascii="Arial" w:hAnsi="Arial" w:cs="Arial"/>
          <w:color w:val="000000"/>
          <w:szCs w:val="24"/>
        </w:rPr>
        <w:t xml:space="preserve">made </w:t>
      </w:r>
      <w:r w:rsidRPr="00483790">
        <w:rPr>
          <w:rFonts w:ascii="Arial" w:hAnsi="Arial" w:cs="Arial"/>
          <w:color w:val="000000"/>
          <w:szCs w:val="24"/>
        </w:rPr>
        <w:t xml:space="preserve">(includes previous year claims). The metropolitan Perth area recorded the highest number of </w:t>
      </w:r>
      <w:r w:rsidRPr="00483790">
        <w:rPr>
          <w:rFonts w:ascii="Arial" w:hAnsi="Arial" w:cs="Arial"/>
          <w:color w:val="000000"/>
          <w:szCs w:val="24"/>
        </w:rPr>
        <w:lastRenderedPageBreak/>
        <w:t>workers’ compensation claims (3,</w:t>
      </w:r>
      <w:r>
        <w:rPr>
          <w:rFonts w:ascii="Arial" w:hAnsi="Arial" w:cs="Arial"/>
          <w:color w:val="000000"/>
          <w:szCs w:val="24"/>
        </w:rPr>
        <w:t>354</w:t>
      </w:r>
      <w:r w:rsidRPr="00483790">
        <w:rPr>
          <w:rFonts w:ascii="Arial" w:hAnsi="Arial" w:cs="Arial"/>
          <w:color w:val="000000"/>
          <w:szCs w:val="24"/>
        </w:rPr>
        <w:t>) and total payments of $1</w:t>
      </w:r>
      <w:r>
        <w:rPr>
          <w:rFonts w:ascii="Arial" w:hAnsi="Arial" w:cs="Arial"/>
          <w:color w:val="000000"/>
          <w:szCs w:val="24"/>
        </w:rPr>
        <w:t xml:space="preserve">17.4 </w:t>
      </w:r>
      <w:r w:rsidRPr="00483790">
        <w:rPr>
          <w:rFonts w:ascii="Arial" w:hAnsi="Arial" w:cs="Arial"/>
          <w:color w:val="000000"/>
          <w:szCs w:val="24"/>
        </w:rPr>
        <w:t>million</w:t>
      </w:r>
      <w:r>
        <w:rPr>
          <w:rFonts w:ascii="Arial" w:hAnsi="Arial" w:cs="Arial"/>
          <w:color w:val="000000"/>
          <w:szCs w:val="24"/>
        </w:rPr>
        <w:t xml:space="preserve">, which is expected given the majority of public sector workplaces and the clients they service are in metropolitan areas. </w:t>
      </w:r>
    </w:p>
    <w:p w14:paraId="7A20DD72" w14:textId="77777777" w:rsidR="00802E99" w:rsidRDefault="00802E99" w:rsidP="00802E99">
      <w:pPr>
        <w:rPr>
          <w:rFonts w:ascii="Arial" w:hAnsi="Arial" w:cs="Arial"/>
          <w:color w:val="000000"/>
          <w:szCs w:val="24"/>
        </w:rPr>
      </w:pPr>
    </w:p>
    <w:p w14:paraId="59DC5579" w14:textId="77777777" w:rsidR="00802E99" w:rsidRPr="00CF644F" w:rsidRDefault="00802E99" w:rsidP="00802E99">
      <w:pPr>
        <w:rPr>
          <w:rFonts w:ascii="Arial" w:hAnsi="Arial" w:cs="Arial"/>
          <w:color w:val="000000"/>
          <w:szCs w:val="24"/>
        </w:rPr>
      </w:pPr>
      <w:r w:rsidRPr="00483790">
        <w:rPr>
          <w:rFonts w:ascii="Arial" w:hAnsi="Arial" w:cs="Arial"/>
          <w:iCs/>
          <w:color w:val="000000"/>
          <w:szCs w:val="24"/>
        </w:rPr>
        <w:t>Seventy-</w:t>
      </w:r>
      <w:r>
        <w:rPr>
          <w:rFonts w:ascii="Arial" w:hAnsi="Arial" w:cs="Arial"/>
          <w:iCs/>
          <w:color w:val="000000"/>
          <w:szCs w:val="24"/>
        </w:rPr>
        <w:t>one</w:t>
      </w:r>
      <w:r w:rsidRPr="00483790">
        <w:rPr>
          <w:rFonts w:ascii="Arial" w:hAnsi="Arial" w:cs="Arial"/>
          <w:iCs/>
          <w:color w:val="000000"/>
          <w:szCs w:val="24"/>
        </w:rPr>
        <w:t xml:space="preserve"> percent of claims are from the metropolitan area</w:t>
      </w:r>
      <w:r>
        <w:rPr>
          <w:rFonts w:ascii="Arial" w:hAnsi="Arial" w:cs="Arial"/>
          <w:iCs/>
          <w:color w:val="000000"/>
          <w:szCs w:val="24"/>
        </w:rPr>
        <w:t xml:space="preserve">. </w:t>
      </w:r>
      <w:r w:rsidRPr="00483790">
        <w:rPr>
          <w:rFonts w:ascii="Arial" w:hAnsi="Arial" w:cs="Arial"/>
          <w:color w:val="000000"/>
          <w:szCs w:val="24"/>
        </w:rPr>
        <w:t xml:space="preserve">The Insurance Commission dealt with </w:t>
      </w:r>
      <w:r>
        <w:rPr>
          <w:rFonts w:ascii="Arial" w:hAnsi="Arial" w:cs="Arial"/>
          <w:color w:val="000000"/>
          <w:szCs w:val="24"/>
        </w:rPr>
        <w:t xml:space="preserve">13 </w:t>
      </w:r>
      <w:r w:rsidRPr="00483790">
        <w:rPr>
          <w:rFonts w:ascii="Arial" w:hAnsi="Arial" w:cs="Arial"/>
          <w:color w:val="000000"/>
          <w:szCs w:val="24"/>
        </w:rPr>
        <w:t xml:space="preserve">workers’ compensation claims </w:t>
      </w:r>
      <w:r>
        <w:rPr>
          <w:rFonts w:ascii="Arial" w:hAnsi="Arial" w:cs="Arial"/>
          <w:color w:val="000000"/>
          <w:szCs w:val="24"/>
        </w:rPr>
        <w:t>that occurred outside WA in 2018</w:t>
      </w:r>
      <w:r w:rsidRPr="00483790">
        <w:rPr>
          <w:rFonts w:ascii="Arial" w:hAnsi="Arial" w:cs="Arial"/>
          <w:color w:val="000000"/>
          <w:szCs w:val="24"/>
        </w:rPr>
        <w:t>.</w:t>
      </w:r>
    </w:p>
    <w:p w14:paraId="74C7F4EC" w14:textId="77777777" w:rsidR="00802E99" w:rsidRPr="00CF644F" w:rsidRDefault="00802E99" w:rsidP="00802E99">
      <w:pPr>
        <w:rPr>
          <w:rFonts w:ascii="Arial" w:hAnsi="Arial" w:cs="Arial"/>
          <w:color w:val="000000"/>
          <w:szCs w:val="24"/>
          <w:highlight w:val="yellow"/>
        </w:rPr>
      </w:pPr>
    </w:p>
    <w:p w14:paraId="360BE624" w14:textId="77777777" w:rsidR="00802E99" w:rsidRPr="00FC08D5" w:rsidRDefault="00802E99" w:rsidP="00802E99">
      <w:pPr>
        <w:rPr>
          <w:rFonts w:ascii="Arial" w:hAnsi="Arial" w:cs="Arial"/>
          <w:i/>
          <w:color w:val="000000"/>
          <w:szCs w:val="24"/>
        </w:rPr>
      </w:pPr>
      <w:r w:rsidRPr="00FC08D5">
        <w:rPr>
          <w:rFonts w:ascii="Arial" w:hAnsi="Arial" w:cs="Arial"/>
          <w:i/>
          <w:color w:val="000000"/>
          <w:szCs w:val="24"/>
        </w:rPr>
        <w:t>Infographic – Workers’ Compensation Claims Paid in 2018</w:t>
      </w:r>
    </w:p>
    <w:p w14:paraId="0188B5D8" w14:textId="77777777" w:rsidR="00802E99" w:rsidRPr="00FC08D5" w:rsidRDefault="00802E99" w:rsidP="00802E99">
      <w:pPr>
        <w:rPr>
          <w:rFonts w:ascii="Arial" w:hAnsi="Arial" w:cs="Arial"/>
          <w:color w:val="000000"/>
          <w:szCs w:val="24"/>
        </w:rPr>
      </w:pPr>
    </w:p>
    <w:tbl>
      <w:tblPr>
        <w:tblW w:w="7240" w:type="dxa"/>
        <w:tblLook w:val="04A0" w:firstRow="1" w:lastRow="0" w:firstColumn="1" w:lastColumn="0" w:noHBand="0" w:noVBand="1"/>
      </w:tblPr>
      <w:tblGrid>
        <w:gridCol w:w="3520"/>
        <w:gridCol w:w="1640"/>
        <w:gridCol w:w="2080"/>
      </w:tblGrid>
      <w:tr w:rsidR="00802E99" w:rsidRPr="00FC08D5" w14:paraId="0E9095DC" w14:textId="77777777" w:rsidTr="004046F0">
        <w:trPr>
          <w:trHeight w:val="315"/>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4CCDF"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WA Regions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57248A10"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 xml:space="preserve"> New Claims </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FD1615A"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Total Payments</w:t>
            </w:r>
          </w:p>
        </w:tc>
      </w:tr>
      <w:tr w:rsidR="00802E99" w:rsidRPr="00FC08D5" w14:paraId="0AD2F4FD"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BD1DC6E" w14:textId="77777777" w:rsidR="00802E99" w:rsidRPr="00FC08D5" w:rsidRDefault="00802E99" w:rsidP="004046F0">
            <w:pPr>
              <w:rPr>
                <w:rFonts w:ascii="Arial" w:hAnsi="Arial" w:cs="Arial"/>
                <w:color w:val="000000"/>
                <w:szCs w:val="24"/>
                <w:lang w:eastAsia="en-AU"/>
              </w:rPr>
            </w:pPr>
            <w:r w:rsidRPr="00FC08D5">
              <w:rPr>
                <w:rFonts w:ascii="Arial" w:hAnsi="Arial" w:cs="Arial"/>
                <w:color w:val="000000"/>
                <w:szCs w:val="24"/>
                <w:lang w:eastAsia="en-AU"/>
              </w:rPr>
              <w:t>Great Southern</w:t>
            </w:r>
          </w:p>
        </w:tc>
        <w:tc>
          <w:tcPr>
            <w:tcW w:w="1640" w:type="dxa"/>
            <w:tcBorders>
              <w:top w:val="nil"/>
              <w:left w:val="nil"/>
              <w:bottom w:val="single" w:sz="4" w:space="0" w:color="auto"/>
              <w:right w:val="single" w:sz="4" w:space="0" w:color="auto"/>
            </w:tcBorders>
            <w:shd w:val="clear" w:color="auto" w:fill="auto"/>
            <w:noWrap/>
            <w:vAlign w:val="bottom"/>
            <w:hideMark/>
          </w:tcPr>
          <w:p w14:paraId="1D025B0E" w14:textId="77777777" w:rsidR="00802E99" w:rsidRPr="00FC08D5" w:rsidRDefault="00802E99" w:rsidP="004046F0">
            <w:pPr>
              <w:jc w:val="right"/>
              <w:rPr>
                <w:rFonts w:ascii="Arial" w:hAnsi="Arial" w:cs="Arial"/>
                <w:color w:val="000000"/>
                <w:lang w:eastAsia="en-AU"/>
              </w:rPr>
            </w:pPr>
            <w:r w:rsidRPr="00FC08D5">
              <w:rPr>
                <w:rFonts w:ascii="Arial" w:hAnsi="Arial" w:cs="Arial"/>
                <w:color w:val="000000"/>
              </w:rPr>
              <w:t>189</w:t>
            </w:r>
          </w:p>
        </w:tc>
        <w:tc>
          <w:tcPr>
            <w:tcW w:w="2080" w:type="dxa"/>
            <w:tcBorders>
              <w:top w:val="nil"/>
              <w:left w:val="nil"/>
              <w:bottom w:val="single" w:sz="4" w:space="0" w:color="auto"/>
              <w:right w:val="single" w:sz="4" w:space="0" w:color="auto"/>
            </w:tcBorders>
            <w:shd w:val="clear" w:color="auto" w:fill="auto"/>
            <w:noWrap/>
            <w:vAlign w:val="bottom"/>
            <w:hideMark/>
          </w:tcPr>
          <w:p w14:paraId="7E6BDB8F" w14:textId="77777777" w:rsidR="00802E99" w:rsidRPr="00FC08D5" w:rsidRDefault="00802E99" w:rsidP="004046F0">
            <w:pPr>
              <w:jc w:val="right"/>
              <w:rPr>
                <w:rFonts w:ascii="Arial" w:hAnsi="Arial" w:cs="Arial"/>
                <w:color w:val="000000"/>
                <w:lang w:eastAsia="en-AU"/>
              </w:rPr>
            </w:pPr>
            <w:r w:rsidRPr="00FC08D5">
              <w:rPr>
                <w:rFonts w:ascii="Arial" w:hAnsi="Arial" w:cs="Arial"/>
                <w:color w:val="000000"/>
              </w:rPr>
              <w:t>$4.8m</w:t>
            </w:r>
          </w:p>
        </w:tc>
      </w:tr>
      <w:tr w:rsidR="00802E99" w:rsidRPr="00FC08D5" w14:paraId="6EEC99B8"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A0D4116" w14:textId="77777777" w:rsidR="00802E99" w:rsidRPr="00FC08D5" w:rsidRDefault="00802E99" w:rsidP="004046F0">
            <w:pPr>
              <w:rPr>
                <w:rFonts w:ascii="Arial" w:hAnsi="Arial" w:cs="Arial"/>
                <w:color w:val="000000"/>
                <w:szCs w:val="24"/>
                <w:lang w:eastAsia="en-AU"/>
              </w:rPr>
            </w:pPr>
            <w:r w:rsidRPr="00FC08D5">
              <w:rPr>
                <w:rFonts w:ascii="Arial" w:hAnsi="Arial" w:cs="Arial"/>
                <w:color w:val="000000"/>
                <w:szCs w:val="24"/>
                <w:lang w:eastAsia="en-AU"/>
              </w:rPr>
              <w:t>South West</w:t>
            </w:r>
          </w:p>
        </w:tc>
        <w:tc>
          <w:tcPr>
            <w:tcW w:w="1640" w:type="dxa"/>
            <w:tcBorders>
              <w:top w:val="nil"/>
              <w:left w:val="nil"/>
              <w:bottom w:val="single" w:sz="4" w:space="0" w:color="auto"/>
              <w:right w:val="single" w:sz="4" w:space="0" w:color="auto"/>
            </w:tcBorders>
            <w:shd w:val="clear" w:color="auto" w:fill="auto"/>
            <w:noWrap/>
            <w:vAlign w:val="bottom"/>
            <w:hideMark/>
          </w:tcPr>
          <w:p w14:paraId="4986C527" w14:textId="77777777" w:rsidR="00802E99" w:rsidRPr="00FC08D5" w:rsidRDefault="00802E99" w:rsidP="004046F0">
            <w:pPr>
              <w:jc w:val="right"/>
              <w:rPr>
                <w:rFonts w:ascii="Arial" w:hAnsi="Arial" w:cs="Arial"/>
                <w:color w:val="000000"/>
              </w:rPr>
            </w:pPr>
            <w:r w:rsidRPr="00FC08D5">
              <w:rPr>
                <w:rFonts w:ascii="Arial" w:hAnsi="Arial" w:cs="Arial"/>
                <w:color w:val="000000"/>
              </w:rPr>
              <w:t>453</w:t>
            </w:r>
          </w:p>
        </w:tc>
        <w:tc>
          <w:tcPr>
            <w:tcW w:w="2080" w:type="dxa"/>
            <w:tcBorders>
              <w:top w:val="nil"/>
              <w:left w:val="nil"/>
              <w:bottom w:val="single" w:sz="4" w:space="0" w:color="auto"/>
              <w:right w:val="single" w:sz="4" w:space="0" w:color="auto"/>
            </w:tcBorders>
            <w:shd w:val="clear" w:color="auto" w:fill="auto"/>
            <w:noWrap/>
            <w:vAlign w:val="bottom"/>
            <w:hideMark/>
          </w:tcPr>
          <w:p w14:paraId="5246530A" w14:textId="77777777" w:rsidR="00802E99" w:rsidRPr="00FC08D5" w:rsidRDefault="00802E99" w:rsidP="004046F0">
            <w:pPr>
              <w:jc w:val="right"/>
              <w:rPr>
                <w:rFonts w:ascii="Arial" w:hAnsi="Arial" w:cs="Arial"/>
                <w:color w:val="000000"/>
              </w:rPr>
            </w:pPr>
            <w:r w:rsidRPr="00FC08D5">
              <w:rPr>
                <w:rFonts w:ascii="Arial" w:hAnsi="Arial" w:cs="Arial"/>
                <w:color w:val="000000"/>
              </w:rPr>
              <w:t xml:space="preserve"> $14m </w:t>
            </w:r>
          </w:p>
        </w:tc>
      </w:tr>
      <w:tr w:rsidR="00802E99" w:rsidRPr="00FC08D5" w14:paraId="22BBCDBA"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5D2280D" w14:textId="77777777" w:rsidR="00802E99" w:rsidRPr="00FC08D5" w:rsidRDefault="00802E99" w:rsidP="004046F0">
            <w:pPr>
              <w:rPr>
                <w:rFonts w:ascii="Arial" w:hAnsi="Arial" w:cs="Arial"/>
                <w:color w:val="000000"/>
                <w:szCs w:val="24"/>
                <w:lang w:eastAsia="en-AU"/>
              </w:rPr>
            </w:pPr>
            <w:r w:rsidRPr="00FC08D5">
              <w:rPr>
                <w:rFonts w:ascii="Arial" w:hAnsi="Arial" w:cs="Arial"/>
                <w:color w:val="000000"/>
                <w:szCs w:val="24"/>
                <w:lang w:eastAsia="en-AU"/>
              </w:rPr>
              <w:t>Goldfields-Esperance</w:t>
            </w:r>
          </w:p>
        </w:tc>
        <w:tc>
          <w:tcPr>
            <w:tcW w:w="1640" w:type="dxa"/>
            <w:tcBorders>
              <w:top w:val="nil"/>
              <w:left w:val="nil"/>
              <w:bottom w:val="single" w:sz="4" w:space="0" w:color="auto"/>
              <w:right w:val="single" w:sz="4" w:space="0" w:color="auto"/>
            </w:tcBorders>
            <w:shd w:val="clear" w:color="auto" w:fill="auto"/>
            <w:noWrap/>
            <w:vAlign w:val="bottom"/>
            <w:hideMark/>
          </w:tcPr>
          <w:p w14:paraId="6A57261B" w14:textId="77777777" w:rsidR="00802E99" w:rsidRPr="00FC08D5" w:rsidRDefault="00802E99" w:rsidP="004046F0">
            <w:pPr>
              <w:jc w:val="right"/>
              <w:rPr>
                <w:rFonts w:ascii="Arial" w:hAnsi="Arial" w:cs="Arial"/>
                <w:color w:val="000000"/>
              </w:rPr>
            </w:pPr>
            <w:r w:rsidRPr="00FC08D5">
              <w:rPr>
                <w:rFonts w:ascii="Arial" w:hAnsi="Arial" w:cs="Arial"/>
                <w:color w:val="000000"/>
              </w:rPr>
              <w:t>94</w:t>
            </w:r>
          </w:p>
        </w:tc>
        <w:tc>
          <w:tcPr>
            <w:tcW w:w="2080" w:type="dxa"/>
            <w:tcBorders>
              <w:top w:val="nil"/>
              <w:left w:val="nil"/>
              <w:bottom w:val="single" w:sz="4" w:space="0" w:color="auto"/>
              <w:right w:val="single" w:sz="4" w:space="0" w:color="auto"/>
            </w:tcBorders>
            <w:shd w:val="clear" w:color="auto" w:fill="auto"/>
            <w:noWrap/>
            <w:vAlign w:val="bottom"/>
            <w:hideMark/>
          </w:tcPr>
          <w:p w14:paraId="2C5DBA2B" w14:textId="77777777" w:rsidR="00802E99" w:rsidRPr="00FC08D5" w:rsidRDefault="00802E99" w:rsidP="004046F0">
            <w:pPr>
              <w:jc w:val="right"/>
              <w:rPr>
                <w:rFonts w:ascii="Arial" w:hAnsi="Arial" w:cs="Arial"/>
                <w:color w:val="000000"/>
              </w:rPr>
            </w:pPr>
            <w:r w:rsidRPr="00FC08D5">
              <w:rPr>
                <w:rFonts w:ascii="Arial" w:hAnsi="Arial" w:cs="Arial"/>
                <w:color w:val="000000"/>
              </w:rPr>
              <w:t xml:space="preserve"> $2.6m </w:t>
            </w:r>
          </w:p>
        </w:tc>
      </w:tr>
      <w:tr w:rsidR="00802E99" w:rsidRPr="00FC08D5" w14:paraId="1B9DEA8C"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9D024B3" w14:textId="77777777" w:rsidR="00802E99" w:rsidRPr="00FC08D5" w:rsidRDefault="00802E99" w:rsidP="004046F0">
            <w:pPr>
              <w:rPr>
                <w:rFonts w:ascii="Arial" w:hAnsi="Arial" w:cs="Arial"/>
                <w:color w:val="000000"/>
                <w:szCs w:val="24"/>
                <w:lang w:eastAsia="en-AU"/>
              </w:rPr>
            </w:pPr>
            <w:r w:rsidRPr="00FC08D5">
              <w:rPr>
                <w:rFonts w:ascii="Arial" w:hAnsi="Arial" w:cs="Arial"/>
                <w:color w:val="000000"/>
                <w:szCs w:val="24"/>
                <w:lang w:eastAsia="en-AU"/>
              </w:rPr>
              <w:t>Kimberley</w:t>
            </w:r>
          </w:p>
        </w:tc>
        <w:tc>
          <w:tcPr>
            <w:tcW w:w="1640" w:type="dxa"/>
            <w:tcBorders>
              <w:top w:val="nil"/>
              <w:left w:val="nil"/>
              <w:bottom w:val="single" w:sz="4" w:space="0" w:color="auto"/>
              <w:right w:val="single" w:sz="4" w:space="0" w:color="auto"/>
            </w:tcBorders>
            <w:shd w:val="clear" w:color="auto" w:fill="auto"/>
            <w:noWrap/>
            <w:vAlign w:val="bottom"/>
            <w:hideMark/>
          </w:tcPr>
          <w:p w14:paraId="611CAF7B" w14:textId="77777777" w:rsidR="00802E99" w:rsidRPr="00FC08D5" w:rsidRDefault="00802E99" w:rsidP="004046F0">
            <w:pPr>
              <w:jc w:val="right"/>
              <w:rPr>
                <w:rFonts w:ascii="Arial" w:hAnsi="Arial" w:cs="Arial"/>
                <w:color w:val="000000"/>
              </w:rPr>
            </w:pPr>
            <w:r w:rsidRPr="00FC08D5">
              <w:rPr>
                <w:rFonts w:ascii="Arial" w:hAnsi="Arial" w:cs="Arial"/>
                <w:color w:val="000000"/>
              </w:rPr>
              <w:t>95</w:t>
            </w:r>
          </w:p>
        </w:tc>
        <w:tc>
          <w:tcPr>
            <w:tcW w:w="2080" w:type="dxa"/>
            <w:tcBorders>
              <w:top w:val="nil"/>
              <w:left w:val="nil"/>
              <w:bottom w:val="single" w:sz="4" w:space="0" w:color="auto"/>
              <w:right w:val="single" w:sz="4" w:space="0" w:color="auto"/>
            </w:tcBorders>
            <w:shd w:val="clear" w:color="auto" w:fill="auto"/>
            <w:noWrap/>
            <w:vAlign w:val="bottom"/>
            <w:hideMark/>
          </w:tcPr>
          <w:p w14:paraId="2484F453" w14:textId="77777777" w:rsidR="00802E99" w:rsidRPr="00FC08D5" w:rsidRDefault="00802E99" w:rsidP="004046F0">
            <w:pPr>
              <w:jc w:val="right"/>
              <w:rPr>
                <w:rFonts w:ascii="Arial" w:hAnsi="Arial" w:cs="Arial"/>
                <w:color w:val="000000"/>
              </w:rPr>
            </w:pPr>
            <w:r w:rsidRPr="00FC08D5">
              <w:rPr>
                <w:rFonts w:ascii="Arial" w:hAnsi="Arial" w:cs="Arial"/>
                <w:color w:val="000000"/>
              </w:rPr>
              <w:t xml:space="preserve"> $2.3m </w:t>
            </w:r>
          </w:p>
        </w:tc>
      </w:tr>
      <w:tr w:rsidR="00802E99" w:rsidRPr="00FC08D5" w14:paraId="14DE1A18"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43BC0E6" w14:textId="77777777" w:rsidR="00802E99" w:rsidRPr="00FC08D5" w:rsidRDefault="00802E99" w:rsidP="004046F0">
            <w:pPr>
              <w:rPr>
                <w:rFonts w:ascii="Arial" w:hAnsi="Arial" w:cs="Arial"/>
                <w:color w:val="000000"/>
                <w:szCs w:val="24"/>
                <w:lang w:eastAsia="en-AU"/>
              </w:rPr>
            </w:pPr>
            <w:r w:rsidRPr="00FC08D5">
              <w:rPr>
                <w:rFonts w:ascii="Arial" w:hAnsi="Arial" w:cs="Arial"/>
                <w:color w:val="000000"/>
                <w:szCs w:val="24"/>
                <w:lang w:eastAsia="en-AU"/>
              </w:rPr>
              <w:t>Metropolitan</w:t>
            </w:r>
          </w:p>
        </w:tc>
        <w:tc>
          <w:tcPr>
            <w:tcW w:w="1640" w:type="dxa"/>
            <w:tcBorders>
              <w:top w:val="nil"/>
              <w:left w:val="nil"/>
              <w:bottom w:val="single" w:sz="4" w:space="0" w:color="auto"/>
              <w:right w:val="single" w:sz="4" w:space="0" w:color="auto"/>
            </w:tcBorders>
            <w:shd w:val="clear" w:color="auto" w:fill="auto"/>
            <w:noWrap/>
            <w:vAlign w:val="bottom"/>
            <w:hideMark/>
          </w:tcPr>
          <w:p w14:paraId="5363E855" w14:textId="77777777" w:rsidR="00802E99" w:rsidRPr="00FC08D5" w:rsidRDefault="00802E99" w:rsidP="004046F0">
            <w:pPr>
              <w:jc w:val="right"/>
              <w:rPr>
                <w:rFonts w:ascii="Arial" w:hAnsi="Arial" w:cs="Arial"/>
                <w:color w:val="000000"/>
              </w:rPr>
            </w:pPr>
            <w:r w:rsidRPr="00FC08D5">
              <w:rPr>
                <w:rFonts w:ascii="Arial" w:hAnsi="Arial" w:cs="Arial"/>
                <w:color w:val="000000"/>
              </w:rPr>
              <w:t>3,354</w:t>
            </w:r>
          </w:p>
        </w:tc>
        <w:tc>
          <w:tcPr>
            <w:tcW w:w="2080" w:type="dxa"/>
            <w:tcBorders>
              <w:top w:val="nil"/>
              <w:left w:val="nil"/>
              <w:bottom w:val="single" w:sz="4" w:space="0" w:color="auto"/>
              <w:right w:val="single" w:sz="4" w:space="0" w:color="auto"/>
            </w:tcBorders>
            <w:shd w:val="clear" w:color="auto" w:fill="auto"/>
            <w:noWrap/>
            <w:vAlign w:val="bottom"/>
            <w:hideMark/>
          </w:tcPr>
          <w:p w14:paraId="3AD4E83C" w14:textId="77777777" w:rsidR="00802E99" w:rsidRPr="00FC08D5" w:rsidRDefault="00802E99" w:rsidP="004046F0">
            <w:pPr>
              <w:jc w:val="right"/>
              <w:rPr>
                <w:rFonts w:ascii="Arial" w:hAnsi="Arial" w:cs="Arial"/>
                <w:color w:val="000000"/>
              </w:rPr>
            </w:pPr>
            <w:r w:rsidRPr="00FC08D5">
              <w:rPr>
                <w:rFonts w:ascii="Arial" w:hAnsi="Arial" w:cs="Arial"/>
                <w:color w:val="000000"/>
              </w:rPr>
              <w:t xml:space="preserve"> $117.6m </w:t>
            </w:r>
          </w:p>
        </w:tc>
      </w:tr>
      <w:tr w:rsidR="00802E99" w:rsidRPr="00FC08D5" w14:paraId="2BC87678"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79BCB75" w14:textId="77777777" w:rsidR="00802E99" w:rsidRPr="00FC08D5" w:rsidRDefault="00802E99" w:rsidP="004046F0">
            <w:pPr>
              <w:rPr>
                <w:rFonts w:ascii="Arial" w:hAnsi="Arial" w:cs="Arial"/>
                <w:color w:val="000000"/>
                <w:szCs w:val="24"/>
                <w:lang w:eastAsia="en-AU"/>
              </w:rPr>
            </w:pPr>
            <w:proofErr w:type="spellStart"/>
            <w:r w:rsidRPr="00FC08D5">
              <w:rPr>
                <w:rFonts w:ascii="Arial" w:hAnsi="Arial" w:cs="Arial"/>
                <w:color w:val="000000"/>
                <w:szCs w:val="24"/>
                <w:lang w:eastAsia="en-AU"/>
              </w:rPr>
              <w:t>Wheatbelt</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1ED91EF3" w14:textId="77777777" w:rsidR="00802E99" w:rsidRPr="00FC08D5" w:rsidRDefault="00802E99" w:rsidP="004046F0">
            <w:pPr>
              <w:jc w:val="right"/>
              <w:rPr>
                <w:rFonts w:ascii="Arial" w:hAnsi="Arial" w:cs="Arial"/>
                <w:color w:val="000000"/>
              </w:rPr>
            </w:pPr>
            <w:r w:rsidRPr="00FC08D5">
              <w:rPr>
                <w:rFonts w:ascii="Arial" w:hAnsi="Arial" w:cs="Arial"/>
                <w:color w:val="000000"/>
              </w:rPr>
              <w:t>167</w:t>
            </w:r>
          </w:p>
        </w:tc>
        <w:tc>
          <w:tcPr>
            <w:tcW w:w="2080" w:type="dxa"/>
            <w:tcBorders>
              <w:top w:val="nil"/>
              <w:left w:val="nil"/>
              <w:bottom w:val="single" w:sz="4" w:space="0" w:color="auto"/>
              <w:right w:val="single" w:sz="4" w:space="0" w:color="auto"/>
            </w:tcBorders>
            <w:shd w:val="clear" w:color="auto" w:fill="auto"/>
            <w:noWrap/>
            <w:vAlign w:val="bottom"/>
            <w:hideMark/>
          </w:tcPr>
          <w:p w14:paraId="0A8502C8" w14:textId="77777777" w:rsidR="00802E99" w:rsidRPr="00FC08D5" w:rsidRDefault="00802E99" w:rsidP="004046F0">
            <w:pPr>
              <w:jc w:val="right"/>
              <w:rPr>
                <w:rFonts w:ascii="Arial" w:hAnsi="Arial" w:cs="Arial"/>
                <w:color w:val="000000"/>
              </w:rPr>
            </w:pPr>
            <w:r w:rsidRPr="00FC08D5">
              <w:rPr>
                <w:rFonts w:ascii="Arial" w:hAnsi="Arial" w:cs="Arial"/>
                <w:color w:val="000000"/>
              </w:rPr>
              <w:t xml:space="preserve"> $3m </w:t>
            </w:r>
          </w:p>
        </w:tc>
      </w:tr>
      <w:tr w:rsidR="00802E99" w:rsidRPr="00FC08D5" w14:paraId="2A3EC50C"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4759BD5" w14:textId="77777777" w:rsidR="00802E99" w:rsidRPr="00FC08D5" w:rsidRDefault="00802E99" w:rsidP="004046F0">
            <w:pPr>
              <w:rPr>
                <w:rFonts w:ascii="Arial" w:hAnsi="Arial" w:cs="Arial"/>
                <w:color w:val="000000"/>
                <w:szCs w:val="24"/>
                <w:lang w:eastAsia="en-AU"/>
              </w:rPr>
            </w:pPr>
            <w:r w:rsidRPr="00FC08D5">
              <w:rPr>
                <w:rFonts w:ascii="Arial" w:hAnsi="Arial" w:cs="Arial"/>
                <w:color w:val="000000"/>
                <w:szCs w:val="24"/>
                <w:lang w:eastAsia="en-AU"/>
              </w:rPr>
              <w:t>Pilbara</w:t>
            </w:r>
          </w:p>
        </w:tc>
        <w:tc>
          <w:tcPr>
            <w:tcW w:w="1640" w:type="dxa"/>
            <w:tcBorders>
              <w:top w:val="nil"/>
              <w:left w:val="nil"/>
              <w:bottom w:val="single" w:sz="4" w:space="0" w:color="auto"/>
              <w:right w:val="single" w:sz="4" w:space="0" w:color="auto"/>
            </w:tcBorders>
            <w:shd w:val="clear" w:color="auto" w:fill="auto"/>
            <w:noWrap/>
            <w:vAlign w:val="bottom"/>
            <w:hideMark/>
          </w:tcPr>
          <w:p w14:paraId="6EE803BB" w14:textId="77777777" w:rsidR="00802E99" w:rsidRPr="00FC08D5" w:rsidRDefault="00802E99" w:rsidP="004046F0">
            <w:pPr>
              <w:jc w:val="right"/>
              <w:rPr>
                <w:rFonts w:ascii="Arial" w:hAnsi="Arial" w:cs="Arial"/>
                <w:color w:val="000000"/>
              </w:rPr>
            </w:pPr>
            <w:r w:rsidRPr="00FC08D5">
              <w:rPr>
                <w:rFonts w:ascii="Arial" w:hAnsi="Arial" w:cs="Arial"/>
                <w:color w:val="000000"/>
              </w:rPr>
              <w:t>123</w:t>
            </w:r>
          </w:p>
        </w:tc>
        <w:tc>
          <w:tcPr>
            <w:tcW w:w="2080" w:type="dxa"/>
            <w:tcBorders>
              <w:top w:val="nil"/>
              <w:left w:val="nil"/>
              <w:bottom w:val="single" w:sz="4" w:space="0" w:color="auto"/>
              <w:right w:val="single" w:sz="4" w:space="0" w:color="auto"/>
            </w:tcBorders>
            <w:shd w:val="clear" w:color="auto" w:fill="auto"/>
            <w:noWrap/>
            <w:vAlign w:val="bottom"/>
            <w:hideMark/>
          </w:tcPr>
          <w:p w14:paraId="55E41677" w14:textId="77777777" w:rsidR="00802E99" w:rsidRPr="00FC08D5" w:rsidRDefault="00802E99" w:rsidP="004046F0">
            <w:pPr>
              <w:jc w:val="right"/>
              <w:rPr>
                <w:rFonts w:ascii="Arial" w:hAnsi="Arial" w:cs="Arial"/>
                <w:color w:val="000000"/>
              </w:rPr>
            </w:pPr>
            <w:r w:rsidRPr="00FC08D5">
              <w:rPr>
                <w:rFonts w:ascii="Arial" w:hAnsi="Arial" w:cs="Arial"/>
                <w:color w:val="000000"/>
              </w:rPr>
              <w:t xml:space="preserve"> $3.2m </w:t>
            </w:r>
          </w:p>
        </w:tc>
      </w:tr>
      <w:tr w:rsidR="00802E99" w:rsidRPr="00FC08D5" w14:paraId="796F0E78"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51A33D4" w14:textId="77777777" w:rsidR="00802E99" w:rsidRPr="00FC08D5" w:rsidRDefault="00802E99" w:rsidP="004046F0">
            <w:pPr>
              <w:rPr>
                <w:rFonts w:ascii="Arial" w:hAnsi="Arial" w:cs="Arial"/>
                <w:color w:val="000000"/>
                <w:szCs w:val="24"/>
                <w:lang w:eastAsia="en-AU"/>
              </w:rPr>
            </w:pPr>
            <w:r w:rsidRPr="00FC08D5">
              <w:rPr>
                <w:rFonts w:ascii="Arial" w:hAnsi="Arial" w:cs="Arial"/>
                <w:color w:val="000000"/>
                <w:szCs w:val="24"/>
                <w:lang w:eastAsia="en-AU"/>
              </w:rPr>
              <w:t>Mid West-Gascoyne</w:t>
            </w:r>
          </w:p>
        </w:tc>
        <w:tc>
          <w:tcPr>
            <w:tcW w:w="1640" w:type="dxa"/>
            <w:tcBorders>
              <w:top w:val="nil"/>
              <w:left w:val="nil"/>
              <w:bottom w:val="single" w:sz="4" w:space="0" w:color="auto"/>
              <w:right w:val="single" w:sz="4" w:space="0" w:color="auto"/>
            </w:tcBorders>
            <w:shd w:val="clear" w:color="auto" w:fill="auto"/>
            <w:noWrap/>
            <w:vAlign w:val="bottom"/>
            <w:hideMark/>
          </w:tcPr>
          <w:p w14:paraId="19431706" w14:textId="77777777" w:rsidR="00802E99" w:rsidRPr="00FC08D5" w:rsidRDefault="00802E99" w:rsidP="004046F0">
            <w:pPr>
              <w:jc w:val="right"/>
              <w:rPr>
                <w:rFonts w:ascii="Arial" w:hAnsi="Arial" w:cs="Arial"/>
                <w:color w:val="000000"/>
              </w:rPr>
            </w:pPr>
            <w:r w:rsidRPr="00FC08D5">
              <w:rPr>
                <w:rFonts w:ascii="Arial" w:hAnsi="Arial" w:cs="Arial"/>
                <w:color w:val="000000"/>
              </w:rPr>
              <w:t>222</w:t>
            </w:r>
          </w:p>
        </w:tc>
        <w:tc>
          <w:tcPr>
            <w:tcW w:w="2080" w:type="dxa"/>
            <w:tcBorders>
              <w:top w:val="nil"/>
              <w:left w:val="nil"/>
              <w:bottom w:val="single" w:sz="4" w:space="0" w:color="auto"/>
              <w:right w:val="single" w:sz="4" w:space="0" w:color="auto"/>
            </w:tcBorders>
            <w:shd w:val="clear" w:color="auto" w:fill="auto"/>
            <w:noWrap/>
            <w:vAlign w:val="bottom"/>
            <w:hideMark/>
          </w:tcPr>
          <w:p w14:paraId="3DD6EDD6" w14:textId="77777777" w:rsidR="00802E99" w:rsidRPr="00FC08D5" w:rsidRDefault="00802E99" w:rsidP="004046F0">
            <w:pPr>
              <w:jc w:val="right"/>
              <w:rPr>
                <w:rFonts w:ascii="Arial" w:hAnsi="Arial" w:cs="Arial"/>
                <w:color w:val="000000"/>
              </w:rPr>
            </w:pPr>
            <w:r w:rsidRPr="00FC08D5">
              <w:rPr>
                <w:rFonts w:ascii="Arial" w:hAnsi="Arial" w:cs="Arial"/>
                <w:color w:val="000000"/>
              </w:rPr>
              <w:t xml:space="preserve"> $7.2m  </w:t>
            </w:r>
          </w:p>
        </w:tc>
      </w:tr>
      <w:tr w:rsidR="00802E99" w:rsidRPr="00FC08D5" w14:paraId="0B6ADFD6"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48B08BB" w14:textId="77777777" w:rsidR="00802E99" w:rsidRPr="00FC08D5" w:rsidRDefault="00802E99" w:rsidP="004046F0">
            <w:pPr>
              <w:rPr>
                <w:rFonts w:ascii="Arial" w:hAnsi="Arial" w:cs="Arial"/>
                <w:color w:val="000000"/>
                <w:szCs w:val="24"/>
                <w:lang w:eastAsia="en-AU"/>
              </w:rPr>
            </w:pPr>
            <w:r w:rsidRPr="00FC08D5">
              <w:rPr>
                <w:rFonts w:ascii="Arial" w:hAnsi="Arial" w:cs="Arial"/>
                <w:color w:val="000000"/>
                <w:szCs w:val="24"/>
                <w:lang w:eastAsia="en-AU"/>
              </w:rPr>
              <w:t>Interstate</w:t>
            </w:r>
          </w:p>
        </w:tc>
        <w:tc>
          <w:tcPr>
            <w:tcW w:w="1640" w:type="dxa"/>
            <w:tcBorders>
              <w:top w:val="nil"/>
              <w:left w:val="nil"/>
              <w:bottom w:val="single" w:sz="4" w:space="0" w:color="auto"/>
              <w:right w:val="single" w:sz="4" w:space="0" w:color="auto"/>
            </w:tcBorders>
            <w:shd w:val="clear" w:color="auto" w:fill="auto"/>
            <w:noWrap/>
            <w:vAlign w:val="bottom"/>
            <w:hideMark/>
          </w:tcPr>
          <w:p w14:paraId="54DAC094" w14:textId="77777777" w:rsidR="00802E99" w:rsidRPr="00FC08D5" w:rsidRDefault="00802E99" w:rsidP="004046F0">
            <w:pPr>
              <w:jc w:val="right"/>
              <w:rPr>
                <w:rFonts w:ascii="Arial" w:hAnsi="Arial" w:cs="Arial"/>
                <w:color w:val="000000"/>
              </w:rPr>
            </w:pPr>
            <w:r w:rsidRPr="00FC08D5">
              <w:rPr>
                <w:rFonts w:ascii="Arial" w:hAnsi="Arial" w:cs="Arial"/>
                <w:color w:val="000000"/>
              </w:rPr>
              <w:t>7</w:t>
            </w:r>
          </w:p>
        </w:tc>
        <w:tc>
          <w:tcPr>
            <w:tcW w:w="2080" w:type="dxa"/>
            <w:tcBorders>
              <w:top w:val="nil"/>
              <w:left w:val="nil"/>
              <w:bottom w:val="single" w:sz="4" w:space="0" w:color="auto"/>
              <w:right w:val="single" w:sz="4" w:space="0" w:color="auto"/>
            </w:tcBorders>
            <w:shd w:val="clear" w:color="auto" w:fill="auto"/>
            <w:noWrap/>
            <w:vAlign w:val="bottom"/>
            <w:hideMark/>
          </w:tcPr>
          <w:p w14:paraId="671AD504" w14:textId="77777777" w:rsidR="00802E99" w:rsidRPr="00FC08D5" w:rsidRDefault="00802E99" w:rsidP="004046F0">
            <w:pPr>
              <w:jc w:val="right"/>
              <w:rPr>
                <w:rFonts w:ascii="Arial" w:hAnsi="Arial" w:cs="Arial"/>
                <w:color w:val="000000"/>
              </w:rPr>
            </w:pPr>
            <w:r w:rsidRPr="00FC08D5">
              <w:rPr>
                <w:rFonts w:ascii="Arial" w:hAnsi="Arial" w:cs="Arial"/>
                <w:color w:val="000000"/>
              </w:rPr>
              <w:t xml:space="preserve"> $           156,638 </w:t>
            </w:r>
          </w:p>
        </w:tc>
      </w:tr>
      <w:tr w:rsidR="00802E99" w:rsidRPr="00FC08D5" w14:paraId="21975BC1" w14:textId="77777777" w:rsidTr="004046F0">
        <w:trPr>
          <w:trHeight w:val="315"/>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E19BF01"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TOTAL</w:t>
            </w:r>
          </w:p>
        </w:tc>
        <w:tc>
          <w:tcPr>
            <w:tcW w:w="1640" w:type="dxa"/>
            <w:tcBorders>
              <w:top w:val="nil"/>
              <w:left w:val="nil"/>
              <w:bottom w:val="single" w:sz="4" w:space="0" w:color="auto"/>
              <w:right w:val="single" w:sz="4" w:space="0" w:color="auto"/>
            </w:tcBorders>
            <w:shd w:val="clear" w:color="auto" w:fill="auto"/>
            <w:noWrap/>
            <w:vAlign w:val="bottom"/>
            <w:hideMark/>
          </w:tcPr>
          <w:p w14:paraId="5CC14DEC" w14:textId="77777777" w:rsidR="00802E99" w:rsidRPr="00FC08D5" w:rsidRDefault="00802E99" w:rsidP="004046F0">
            <w:pPr>
              <w:jc w:val="right"/>
              <w:rPr>
                <w:rFonts w:ascii="Arial" w:hAnsi="Arial" w:cs="Arial"/>
                <w:b/>
                <w:bCs/>
                <w:color w:val="000000"/>
                <w:szCs w:val="24"/>
                <w:lang w:eastAsia="en-AU"/>
              </w:rPr>
            </w:pPr>
            <w:r w:rsidRPr="00FC08D5">
              <w:rPr>
                <w:rFonts w:ascii="Arial" w:hAnsi="Arial" w:cs="Arial"/>
                <w:b/>
                <w:bCs/>
                <w:color w:val="000000"/>
                <w:szCs w:val="24"/>
                <w:lang w:eastAsia="en-AU"/>
              </w:rPr>
              <w:t>4,704</w:t>
            </w:r>
          </w:p>
        </w:tc>
        <w:tc>
          <w:tcPr>
            <w:tcW w:w="2080" w:type="dxa"/>
            <w:tcBorders>
              <w:top w:val="nil"/>
              <w:left w:val="nil"/>
              <w:bottom w:val="single" w:sz="4" w:space="0" w:color="auto"/>
              <w:right w:val="single" w:sz="4" w:space="0" w:color="auto"/>
            </w:tcBorders>
            <w:shd w:val="clear" w:color="auto" w:fill="auto"/>
            <w:noWrap/>
            <w:vAlign w:val="bottom"/>
            <w:hideMark/>
          </w:tcPr>
          <w:p w14:paraId="7ED7384A" w14:textId="77777777" w:rsidR="00802E99" w:rsidRPr="00FC08D5" w:rsidRDefault="00802E99" w:rsidP="004046F0">
            <w:pPr>
              <w:jc w:val="right"/>
              <w:rPr>
                <w:rFonts w:ascii="Arial" w:hAnsi="Arial" w:cs="Arial"/>
                <w:b/>
                <w:bCs/>
                <w:color w:val="000000"/>
                <w:szCs w:val="24"/>
                <w:lang w:eastAsia="en-AU"/>
              </w:rPr>
            </w:pPr>
            <w:r w:rsidRPr="00FC08D5">
              <w:rPr>
                <w:rFonts w:ascii="Arial" w:hAnsi="Arial" w:cs="Arial"/>
                <w:b/>
                <w:bCs/>
                <w:color w:val="000000"/>
                <w:szCs w:val="24"/>
                <w:lang w:eastAsia="en-AU"/>
              </w:rPr>
              <w:t>$154.9m</w:t>
            </w:r>
          </w:p>
        </w:tc>
      </w:tr>
    </w:tbl>
    <w:p w14:paraId="46A7D21B" w14:textId="77777777" w:rsidR="00802E99" w:rsidRPr="00FC08D5" w:rsidRDefault="00802E99" w:rsidP="00802E99">
      <w:pPr>
        <w:rPr>
          <w:rFonts w:ascii="Arial" w:hAnsi="Arial" w:cs="Arial"/>
          <w:color w:val="000000"/>
          <w:szCs w:val="24"/>
        </w:rPr>
      </w:pPr>
    </w:p>
    <w:tbl>
      <w:tblPr>
        <w:tblW w:w="7240" w:type="dxa"/>
        <w:tblLook w:val="04A0" w:firstRow="1" w:lastRow="0" w:firstColumn="1" w:lastColumn="0" w:noHBand="0" w:noVBand="1"/>
      </w:tblPr>
      <w:tblGrid>
        <w:gridCol w:w="3520"/>
        <w:gridCol w:w="1640"/>
        <w:gridCol w:w="2080"/>
      </w:tblGrid>
      <w:tr w:rsidR="00802E99" w:rsidRPr="00FC08D5" w14:paraId="52A75E07" w14:textId="77777777" w:rsidTr="004046F0">
        <w:trPr>
          <w:trHeight w:val="315"/>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2B3A"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Top Local Government Areas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7F6B2C9A"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 xml:space="preserve"> New Claims </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D9B1CA9"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 xml:space="preserve"> Total Payments </w:t>
            </w:r>
          </w:p>
        </w:tc>
      </w:tr>
      <w:tr w:rsidR="00802E99" w:rsidRPr="00FC08D5" w14:paraId="7D94042A"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9CF1C30" w14:textId="77777777" w:rsidR="00802E99" w:rsidRPr="00FC08D5" w:rsidRDefault="00802E99" w:rsidP="004046F0">
            <w:pPr>
              <w:jc w:val="left"/>
              <w:rPr>
                <w:rFonts w:ascii="Arial" w:hAnsi="Arial" w:cs="Arial"/>
                <w:color w:val="000000"/>
                <w:lang w:eastAsia="en-AU"/>
              </w:rPr>
            </w:pPr>
            <w:r w:rsidRPr="00FC08D5">
              <w:rPr>
                <w:rFonts w:ascii="Arial" w:hAnsi="Arial" w:cs="Arial"/>
                <w:color w:val="000000"/>
              </w:rPr>
              <w:t>Perth</w:t>
            </w:r>
          </w:p>
        </w:tc>
        <w:tc>
          <w:tcPr>
            <w:tcW w:w="1640" w:type="dxa"/>
            <w:tcBorders>
              <w:top w:val="nil"/>
              <w:left w:val="nil"/>
              <w:bottom w:val="single" w:sz="4" w:space="0" w:color="auto"/>
              <w:right w:val="single" w:sz="4" w:space="0" w:color="auto"/>
            </w:tcBorders>
            <w:shd w:val="clear" w:color="auto" w:fill="auto"/>
            <w:noWrap/>
            <w:vAlign w:val="bottom"/>
            <w:hideMark/>
          </w:tcPr>
          <w:p w14:paraId="197961FD" w14:textId="77777777" w:rsidR="00802E99" w:rsidRPr="00FC08D5" w:rsidRDefault="00802E99" w:rsidP="004046F0">
            <w:pPr>
              <w:jc w:val="right"/>
              <w:rPr>
                <w:rFonts w:ascii="Arial" w:hAnsi="Arial" w:cs="Arial"/>
                <w:color w:val="000000"/>
                <w:lang w:eastAsia="en-AU"/>
              </w:rPr>
            </w:pPr>
            <w:r w:rsidRPr="00FC08D5">
              <w:rPr>
                <w:rFonts w:ascii="Arial" w:hAnsi="Arial" w:cs="Arial"/>
                <w:color w:val="000000"/>
              </w:rPr>
              <w:t>554</w:t>
            </w:r>
          </w:p>
        </w:tc>
        <w:tc>
          <w:tcPr>
            <w:tcW w:w="2080" w:type="dxa"/>
            <w:tcBorders>
              <w:top w:val="nil"/>
              <w:left w:val="nil"/>
              <w:bottom w:val="single" w:sz="4" w:space="0" w:color="auto"/>
              <w:right w:val="single" w:sz="4" w:space="0" w:color="auto"/>
            </w:tcBorders>
            <w:shd w:val="clear" w:color="auto" w:fill="auto"/>
            <w:noWrap/>
            <w:vAlign w:val="bottom"/>
            <w:hideMark/>
          </w:tcPr>
          <w:p w14:paraId="60B0E6D3" w14:textId="77777777" w:rsidR="00802E99" w:rsidRPr="00FC08D5" w:rsidRDefault="00802E99" w:rsidP="004046F0">
            <w:pPr>
              <w:jc w:val="right"/>
              <w:rPr>
                <w:rFonts w:ascii="Arial" w:hAnsi="Arial" w:cs="Arial"/>
                <w:color w:val="000000"/>
                <w:lang w:eastAsia="en-AU"/>
              </w:rPr>
            </w:pPr>
            <w:r w:rsidRPr="00FC08D5">
              <w:rPr>
                <w:rFonts w:ascii="Arial" w:hAnsi="Arial" w:cs="Arial"/>
                <w:color w:val="000000"/>
              </w:rPr>
              <w:t>$17m</w:t>
            </w:r>
          </w:p>
        </w:tc>
      </w:tr>
      <w:tr w:rsidR="00802E99" w:rsidRPr="00FC08D5" w14:paraId="3456A305"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270C575" w14:textId="77777777" w:rsidR="00802E99" w:rsidRPr="00FC08D5" w:rsidRDefault="00802E99" w:rsidP="004046F0">
            <w:pPr>
              <w:rPr>
                <w:rFonts w:ascii="Arial" w:hAnsi="Arial" w:cs="Arial"/>
                <w:color w:val="000000"/>
              </w:rPr>
            </w:pPr>
            <w:r w:rsidRPr="00FC08D5">
              <w:rPr>
                <w:rFonts w:ascii="Arial" w:hAnsi="Arial" w:cs="Arial"/>
                <w:color w:val="000000"/>
              </w:rPr>
              <w:t>Canning</w:t>
            </w:r>
          </w:p>
        </w:tc>
        <w:tc>
          <w:tcPr>
            <w:tcW w:w="1640" w:type="dxa"/>
            <w:tcBorders>
              <w:top w:val="nil"/>
              <w:left w:val="nil"/>
              <w:bottom w:val="single" w:sz="4" w:space="0" w:color="auto"/>
              <w:right w:val="single" w:sz="4" w:space="0" w:color="auto"/>
            </w:tcBorders>
            <w:shd w:val="clear" w:color="auto" w:fill="auto"/>
            <w:noWrap/>
            <w:vAlign w:val="bottom"/>
            <w:hideMark/>
          </w:tcPr>
          <w:p w14:paraId="2B53D945" w14:textId="77777777" w:rsidR="00802E99" w:rsidRPr="00FC08D5" w:rsidRDefault="00802E99" w:rsidP="004046F0">
            <w:pPr>
              <w:jc w:val="right"/>
              <w:rPr>
                <w:rFonts w:ascii="Arial" w:hAnsi="Arial" w:cs="Arial"/>
                <w:color w:val="000000"/>
              </w:rPr>
            </w:pPr>
            <w:r w:rsidRPr="00FC08D5">
              <w:rPr>
                <w:rFonts w:ascii="Arial" w:hAnsi="Arial" w:cs="Arial"/>
                <w:color w:val="000000"/>
              </w:rPr>
              <w:t>310</w:t>
            </w:r>
          </w:p>
        </w:tc>
        <w:tc>
          <w:tcPr>
            <w:tcW w:w="2080" w:type="dxa"/>
            <w:tcBorders>
              <w:top w:val="nil"/>
              <w:left w:val="nil"/>
              <w:bottom w:val="single" w:sz="4" w:space="0" w:color="auto"/>
              <w:right w:val="single" w:sz="4" w:space="0" w:color="auto"/>
            </w:tcBorders>
            <w:shd w:val="clear" w:color="auto" w:fill="auto"/>
            <w:noWrap/>
            <w:vAlign w:val="bottom"/>
            <w:hideMark/>
          </w:tcPr>
          <w:p w14:paraId="4AC2F5A5" w14:textId="77777777" w:rsidR="00802E99" w:rsidRPr="00FC08D5" w:rsidRDefault="00802E99" w:rsidP="004046F0">
            <w:pPr>
              <w:jc w:val="right"/>
              <w:rPr>
                <w:rFonts w:ascii="Arial" w:hAnsi="Arial" w:cs="Arial"/>
                <w:color w:val="000000"/>
              </w:rPr>
            </w:pPr>
            <w:r w:rsidRPr="00FC08D5">
              <w:rPr>
                <w:rFonts w:ascii="Arial" w:hAnsi="Arial" w:cs="Arial"/>
                <w:color w:val="000000"/>
              </w:rPr>
              <w:t>$11.4m</w:t>
            </w:r>
          </w:p>
        </w:tc>
      </w:tr>
      <w:tr w:rsidR="00802E99" w:rsidRPr="00FC08D5" w14:paraId="5942F5F5"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AB8B5C1" w14:textId="77777777" w:rsidR="00802E99" w:rsidRPr="00FC08D5" w:rsidRDefault="00802E99" w:rsidP="004046F0">
            <w:pPr>
              <w:rPr>
                <w:rFonts w:ascii="Arial" w:hAnsi="Arial" w:cs="Arial"/>
                <w:color w:val="000000"/>
              </w:rPr>
            </w:pPr>
            <w:r w:rsidRPr="00FC08D5">
              <w:rPr>
                <w:rFonts w:ascii="Arial" w:hAnsi="Arial" w:cs="Arial"/>
                <w:color w:val="000000"/>
              </w:rPr>
              <w:t>Nedlands</w:t>
            </w:r>
          </w:p>
        </w:tc>
        <w:tc>
          <w:tcPr>
            <w:tcW w:w="1640" w:type="dxa"/>
            <w:tcBorders>
              <w:top w:val="nil"/>
              <w:left w:val="nil"/>
              <w:bottom w:val="single" w:sz="4" w:space="0" w:color="auto"/>
              <w:right w:val="single" w:sz="4" w:space="0" w:color="auto"/>
            </w:tcBorders>
            <w:shd w:val="clear" w:color="auto" w:fill="auto"/>
            <w:noWrap/>
            <w:vAlign w:val="bottom"/>
            <w:hideMark/>
          </w:tcPr>
          <w:p w14:paraId="1B219D22" w14:textId="77777777" w:rsidR="00802E99" w:rsidRPr="00FC08D5" w:rsidRDefault="00802E99" w:rsidP="004046F0">
            <w:pPr>
              <w:jc w:val="right"/>
              <w:rPr>
                <w:rFonts w:ascii="Arial" w:hAnsi="Arial" w:cs="Arial"/>
                <w:color w:val="000000"/>
              </w:rPr>
            </w:pPr>
            <w:r w:rsidRPr="00FC08D5">
              <w:rPr>
                <w:rFonts w:ascii="Arial" w:hAnsi="Arial" w:cs="Arial"/>
                <w:color w:val="000000"/>
              </w:rPr>
              <w:t>231</w:t>
            </w:r>
          </w:p>
        </w:tc>
        <w:tc>
          <w:tcPr>
            <w:tcW w:w="2080" w:type="dxa"/>
            <w:tcBorders>
              <w:top w:val="nil"/>
              <w:left w:val="nil"/>
              <w:bottom w:val="single" w:sz="4" w:space="0" w:color="auto"/>
              <w:right w:val="single" w:sz="4" w:space="0" w:color="auto"/>
            </w:tcBorders>
            <w:shd w:val="clear" w:color="auto" w:fill="auto"/>
            <w:noWrap/>
            <w:vAlign w:val="bottom"/>
            <w:hideMark/>
          </w:tcPr>
          <w:p w14:paraId="7395EA1B" w14:textId="77777777" w:rsidR="00802E99" w:rsidRPr="00FC08D5" w:rsidRDefault="00802E99" w:rsidP="004046F0">
            <w:pPr>
              <w:jc w:val="right"/>
              <w:rPr>
                <w:rFonts w:ascii="Arial" w:hAnsi="Arial" w:cs="Arial"/>
                <w:color w:val="000000"/>
              </w:rPr>
            </w:pPr>
            <w:r w:rsidRPr="00FC08D5">
              <w:rPr>
                <w:rFonts w:ascii="Arial" w:hAnsi="Arial" w:cs="Arial"/>
                <w:color w:val="000000"/>
              </w:rPr>
              <w:t>$9.5m</w:t>
            </w:r>
          </w:p>
        </w:tc>
      </w:tr>
      <w:tr w:rsidR="00802E99" w:rsidRPr="00FC08D5" w14:paraId="3B8646D9"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8E2A46C" w14:textId="77777777" w:rsidR="00802E99" w:rsidRPr="00FC08D5" w:rsidRDefault="00802E99" w:rsidP="004046F0">
            <w:pPr>
              <w:rPr>
                <w:rFonts w:ascii="Arial" w:hAnsi="Arial" w:cs="Arial"/>
                <w:color w:val="000000"/>
              </w:rPr>
            </w:pPr>
            <w:r w:rsidRPr="00FC08D5">
              <w:rPr>
                <w:rFonts w:ascii="Arial" w:hAnsi="Arial" w:cs="Arial"/>
                <w:color w:val="000000"/>
              </w:rPr>
              <w:t>Rockingham</w:t>
            </w:r>
          </w:p>
        </w:tc>
        <w:tc>
          <w:tcPr>
            <w:tcW w:w="1640" w:type="dxa"/>
            <w:tcBorders>
              <w:top w:val="nil"/>
              <w:left w:val="nil"/>
              <w:bottom w:val="single" w:sz="4" w:space="0" w:color="auto"/>
              <w:right w:val="single" w:sz="4" w:space="0" w:color="auto"/>
            </w:tcBorders>
            <w:shd w:val="clear" w:color="auto" w:fill="auto"/>
            <w:noWrap/>
            <w:vAlign w:val="bottom"/>
            <w:hideMark/>
          </w:tcPr>
          <w:p w14:paraId="29CABD12" w14:textId="77777777" w:rsidR="00802E99" w:rsidRPr="00FC08D5" w:rsidRDefault="00802E99" w:rsidP="004046F0">
            <w:pPr>
              <w:jc w:val="right"/>
              <w:rPr>
                <w:rFonts w:ascii="Arial" w:hAnsi="Arial" w:cs="Arial"/>
                <w:color w:val="000000"/>
              </w:rPr>
            </w:pPr>
            <w:r w:rsidRPr="00FC08D5">
              <w:rPr>
                <w:rFonts w:ascii="Arial" w:hAnsi="Arial" w:cs="Arial"/>
                <w:color w:val="000000"/>
              </w:rPr>
              <w:t>209</w:t>
            </w:r>
          </w:p>
        </w:tc>
        <w:tc>
          <w:tcPr>
            <w:tcW w:w="2080" w:type="dxa"/>
            <w:tcBorders>
              <w:top w:val="nil"/>
              <w:left w:val="nil"/>
              <w:bottom w:val="single" w:sz="4" w:space="0" w:color="auto"/>
              <w:right w:val="single" w:sz="4" w:space="0" w:color="auto"/>
            </w:tcBorders>
            <w:shd w:val="clear" w:color="auto" w:fill="auto"/>
            <w:noWrap/>
            <w:vAlign w:val="bottom"/>
            <w:hideMark/>
          </w:tcPr>
          <w:p w14:paraId="61C41C80" w14:textId="77777777" w:rsidR="00802E99" w:rsidRPr="00FC08D5" w:rsidRDefault="00802E99" w:rsidP="004046F0">
            <w:pPr>
              <w:jc w:val="right"/>
              <w:rPr>
                <w:rFonts w:ascii="Arial" w:hAnsi="Arial" w:cs="Arial"/>
                <w:color w:val="000000"/>
              </w:rPr>
            </w:pPr>
            <w:r w:rsidRPr="00FC08D5">
              <w:rPr>
                <w:rFonts w:ascii="Arial" w:hAnsi="Arial" w:cs="Arial"/>
                <w:color w:val="000000"/>
              </w:rPr>
              <w:t>$7.1m</w:t>
            </w:r>
          </w:p>
        </w:tc>
      </w:tr>
      <w:tr w:rsidR="00802E99" w:rsidRPr="00FC08D5" w14:paraId="7B83D6DD"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958BF56" w14:textId="77777777" w:rsidR="00802E99" w:rsidRPr="00FC08D5" w:rsidRDefault="00802E99" w:rsidP="004046F0">
            <w:pPr>
              <w:rPr>
                <w:rFonts w:ascii="Arial" w:hAnsi="Arial" w:cs="Arial"/>
                <w:color w:val="000000"/>
              </w:rPr>
            </w:pPr>
            <w:r w:rsidRPr="00FC08D5">
              <w:rPr>
                <w:rFonts w:ascii="Arial" w:hAnsi="Arial" w:cs="Arial"/>
                <w:color w:val="000000"/>
              </w:rPr>
              <w:t>Swan</w:t>
            </w:r>
          </w:p>
        </w:tc>
        <w:tc>
          <w:tcPr>
            <w:tcW w:w="1640" w:type="dxa"/>
            <w:tcBorders>
              <w:top w:val="nil"/>
              <w:left w:val="nil"/>
              <w:bottom w:val="single" w:sz="4" w:space="0" w:color="auto"/>
              <w:right w:val="single" w:sz="4" w:space="0" w:color="auto"/>
            </w:tcBorders>
            <w:shd w:val="clear" w:color="auto" w:fill="auto"/>
            <w:noWrap/>
            <w:vAlign w:val="bottom"/>
            <w:hideMark/>
          </w:tcPr>
          <w:p w14:paraId="4CB10B2D" w14:textId="77777777" w:rsidR="00802E99" w:rsidRPr="00FC08D5" w:rsidRDefault="00802E99" w:rsidP="004046F0">
            <w:pPr>
              <w:jc w:val="right"/>
              <w:rPr>
                <w:rFonts w:ascii="Arial" w:hAnsi="Arial" w:cs="Arial"/>
                <w:color w:val="000000"/>
              </w:rPr>
            </w:pPr>
            <w:r w:rsidRPr="00FC08D5">
              <w:rPr>
                <w:rFonts w:ascii="Arial" w:hAnsi="Arial" w:cs="Arial"/>
                <w:color w:val="000000"/>
              </w:rPr>
              <w:t>186</w:t>
            </w:r>
          </w:p>
        </w:tc>
        <w:tc>
          <w:tcPr>
            <w:tcW w:w="2080" w:type="dxa"/>
            <w:tcBorders>
              <w:top w:val="nil"/>
              <w:left w:val="nil"/>
              <w:bottom w:val="single" w:sz="4" w:space="0" w:color="auto"/>
              <w:right w:val="single" w:sz="4" w:space="0" w:color="auto"/>
            </w:tcBorders>
            <w:shd w:val="clear" w:color="auto" w:fill="auto"/>
            <w:noWrap/>
            <w:vAlign w:val="bottom"/>
            <w:hideMark/>
          </w:tcPr>
          <w:p w14:paraId="3F069B62" w14:textId="77777777" w:rsidR="00802E99" w:rsidRPr="00FC08D5" w:rsidRDefault="00802E99" w:rsidP="004046F0">
            <w:pPr>
              <w:jc w:val="right"/>
              <w:rPr>
                <w:rFonts w:ascii="Arial" w:hAnsi="Arial" w:cs="Arial"/>
                <w:color w:val="000000"/>
              </w:rPr>
            </w:pPr>
            <w:r w:rsidRPr="00FC08D5">
              <w:rPr>
                <w:rFonts w:ascii="Arial" w:hAnsi="Arial" w:cs="Arial"/>
                <w:color w:val="000000"/>
              </w:rPr>
              <w:t>$6.7m</w:t>
            </w:r>
          </w:p>
        </w:tc>
      </w:tr>
      <w:tr w:rsidR="00802E99" w:rsidRPr="00FC08D5" w14:paraId="44C23918"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BD6DB71" w14:textId="77777777" w:rsidR="00802E99" w:rsidRPr="00FC08D5" w:rsidRDefault="00802E99" w:rsidP="004046F0">
            <w:pPr>
              <w:rPr>
                <w:rFonts w:ascii="Arial" w:hAnsi="Arial" w:cs="Arial"/>
                <w:color w:val="000000"/>
              </w:rPr>
            </w:pPr>
            <w:r w:rsidRPr="00FC08D5">
              <w:rPr>
                <w:rFonts w:ascii="Arial" w:hAnsi="Arial" w:cs="Arial"/>
                <w:color w:val="000000"/>
              </w:rPr>
              <w:t>Stirling</w:t>
            </w:r>
          </w:p>
        </w:tc>
        <w:tc>
          <w:tcPr>
            <w:tcW w:w="1640" w:type="dxa"/>
            <w:tcBorders>
              <w:top w:val="nil"/>
              <w:left w:val="nil"/>
              <w:bottom w:val="single" w:sz="4" w:space="0" w:color="auto"/>
              <w:right w:val="single" w:sz="4" w:space="0" w:color="auto"/>
            </w:tcBorders>
            <w:shd w:val="clear" w:color="auto" w:fill="auto"/>
            <w:noWrap/>
            <w:vAlign w:val="bottom"/>
            <w:hideMark/>
          </w:tcPr>
          <w:p w14:paraId="4CAD3AF8" w14:textId="77777777" w:rsidR="00802E99" w:rsidRPr="00FC08D5" w:rsidRDefault="00802E99" w:rsidP="004046F0">
            <w:pPr>
              <w:jc w:val="right"/>
              <w:rPr>
                <w:rFonts w:ascii="Arial" w:hAnsi="Arial" w:cs="Arial"/>
                <w:color w:val="000000"/>
              </w:rPr>
            </w:pPr>
            <w:r w:rsidRPr="00FC08D5">
              <w:rPr>
                <w:rFonts w:ascii="Arial" w:hAnsi="Arial" w:cs="Arial"/>
                <w:color w:val="000000"/>
              </w:rPr>
              <w:t>178</w:t>
            </w:r>
          </w:p>
        </w:tc>
        <w:tc>
          <w:tcPr>
            <w:tcW w:w="2080" w:type="dxa"/>
            <w:tcBorders>
              <w:top w:val="nil"/>
              <w:left w:val="nil"/>
              <w:bottom w:val="single" w:sz="4" w:space="0" w:color="auto"/>
              <w:right w:val="single" w:sz="4" w:space="0" w:color="auto"/>
            </w:tcBorders>
            <w:shd w:val="clear" w:color="auto" w:fill="auto"/>
            <w:noWrap/>
            <w:vAlign w:val="bottom"/>
            <w:hideMark/>
          </w:tcPr>
          <w:p w14:paraId="2CBC096C" w14:textId="77777777" w:rsidR="00802E99" w:rsidRPr="00FC08D5" w:rsidRDefault="00802E99" w:rsidP="004046F0">
            <w:pPr>
              <w:jc w:val="right"/>
              <w:rPr>
                <w:rFonts w:ascii="Arial" w:hAnsi="Arial" w:cs="Arial"/>
                <w:color w:val="000000"/>
              </w:rPr>
            </w:pPr>
            <w:r w:rsidRPr="00FC08D5">
              <w:rPr>
                <w:rFonts w:ascii="Arial" w:hAnsi="Arial" w:cs="Arial"/>
                <w:color w:val="000000"/>
              </w:rPr>
              <w:t>$5.3m</w:t>
            </w:r>
          </w:p>
        </w:tc>
      </w:tr>
      <w:tr w:rsidR="00802E99" w:rsidRPr="00FC08D5" w14:paraId="445421E4"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A1524C8" w14:textId="77777777" w:rsidR="00802E99" w:rsidRPr="00FC08D5" w:rsidRDefault="00802E99" w:rsidP="004046F0">
            <w:pPr>
              <w:rPr>
                <w:rFonts w:ascii="Arial" w:hAnsi="Arial" w:cs="Arial"/>
                <w:color w:val="000000"/>
              </w:rPr>
            </w:pPr>
            <w:r w:rsidRPr="00FC08D5">
              <w:rPr>
                <w:rFonts w:ascii="Arial" w:hAnsi="Arial" w:cs="Arial"/>
                <w:color w:val="000000"/>
              </w:rPr>
              <w:t>Joondalup</w:t>
            </w:r>
          </w:p>
        </w:tc>
        <w:tc>
          <w:tcPr>
            <w:tcW w:w="1640" w:type="dxa"/>
            <w:tcBorders>
              <w:top w:val="nil"/>
              <w:left w:val="nil"/>
              <w:bottom w:val="single" w:sz="4" w:space="0" w:color="auto"/>
              <w:right w:val="single" w:sz="4" w:space="0" w:color="auto"/>
            </w:tcBorders>
            <w:shd w:val="clear" w:color="auto" w:fill="auto"/>
            <w:noWrap/>
            <w:vAlign w:val="bottom"/>
            <w:hideMark/>
          </w:tcPr>
          <w:p w14:paraId="48310F68" w14:textId="77777777" w:rsidR="00802E99" w:rsidRPr="00FC08D5" w:rsidRDefault="00802E99" w:rsidP="004046F0">
            <w:pPr>
              <w:jc w:val="right"/>
              <w:rPr>
                <w:rFonts w:ascii="Arial" w:hAnsi="Arial" w:cs="Arial"/>
                <w:color w:val="000000"/>
              </w:rPr>
            </w:pPr>
            <w:r w:rsidRPr="00FC08D5">
              <w:rPr>
                <w:rFonts w:ascii="Arial" w:hAnsi="Arial" w:cs="Arial"/>
                <w:color w:val="000000"/>
              </w:rPr>
              <w:t>178</w:t>
            </w:r>
          </w:p>
        </w:tc>
        <w:tc>
          <w:tcPr>
            <w:tcW w:w="2080" w:type="dxa"/>
            <w:tcBorders>
              <w:top w:val="nil"/>
              <w:left w:val="nil"/>
              <w:bottom w:val="single" w:sz="4" w:space="0" w:color="auto"/>
              <w:right w:val="single" w:sz="4" w:space="0" w:color="auto"/>
            </w:tcBorders>
            <w:shd w:val="clear" w:color="auto" w:fill="auto"/>
            <w:noWrap/>
            <w:vAlign w:val="bottom"/>
            <w:hideMark/>
          </w:tcPr>
          <w:p w14:paraId="1D28E133" w14:textId="77777777" w:rsidR="00802E99" w:rsidRPr="00FC08D5" w:rsidRDefault="00802E99" w:rsidP="004046F0">
            <w:pPr>
              <w:jc w:val="right"/>
              <w:rPr>
                <w:rFonts w:ascii="Arial" w:hAnsi="Arial" w:cs="Arial"/>
                <w:color w:val="000000"/>
              </w:rPr>
            </w:pPr>
            <w:r w:rsidRPr="00FC08D5">
              <w:rPr>
                <w:rFonts w:ascii="Arial" w:hAnsi="Arial" w:cs="Arial"/>
                <w:color w:val="000000"/>
              </w:rPr>
              <w:t>$4.9m</w:t>
            </w:r>
          </w:p>
        </w:tc>
      </w:tr>
      <w:tr w:rsidR="00802E99" w:rsidRPr="00FC08D5" w14:paraId="6A1D8EFB"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AA502CA" w14:textId="77777777" w:rsidR="00802E99" w:rsidRPr="00FC08D5" w:rsidRDefault="00802E99" w:rsidP="004046F0">
            <w:pPr>
              <w:rPr>
                <w:rFonts w:ascii="Arial" w:hAnsi="Arial" w:cs="Arial"/>
                <w:color w:val="000000"/>
              </w:rPr>
            </w:pPr>
            <w:r w:rsidRPr="00FC08D5">
              <w:rPr>
                <w:rFonts w:ascii="Arial" w:hAnsi="Arial" w:cs="Arial"/>
                <w:color w:val="000000"/>
              </w:rPr>
              <w:t>Wanneroo</w:t>
            </w:r>
          </w:p>
        </w:tc>
        <w:tc>
          <w:tcPr>
            <w:tcW w:w="1640" w:type="dxa"/>
            <w:tcBorders>
              <w:top w:val="nil"/>
              <w:left w:val="nil"/>
              <w:bottom w:val="single" w:sz="4" w:space="0" w:color="auto"/>
              <w:right w:val="single" w:sz="4" w:space="0" w:color="auto"/>
            </w:tcBorders>
            <w:shd w:val="clear" w:color="auto" w:fill="auto"/>
            <w:noWrap/>
            <w:vAlign w:val="bottom"/>
            <w:hideMark/>
          </w:tcPr>
          <w:p w14:paraId="5768ECDA" w14:textId="77777777" w:rsidR="00802E99" w:rsidRPr="00FC08D5" w:rsidRDefault="00802E99" w:rsidP="004046F0">
            <w:pPr>
              <w:jc w:val="right"/>
              <w:rPr>
                <w:rFonts w:ascii="Arial" w:hAnsi="Arial" w:cs="Arial"/>
                <w:color w:val="000000"/>
              </w:rPr>
            </w:pPr>
            <w:r w:rsidRPr="00FC08D5">
              <w:rPr>
                <w:rFonts w:ascii="Arial" w:hAnsi="Arial" w:cs="Arial"/>
                <w:color w:val="000000"/>
              </w:rPr>
              <w:t>167</w:t>
            </w:r>
          </w:p>
        </w:tc>
        <w:tc>
          <w:tcPr>
            <w:tcW w:w="2080" w:type="dxa"/>
            <w:tcBorders>
              <w:top w:val="nil"/>
              <w:left w:val="nil"/>
              <w:bottom w:val="single" w:sz="4" w:space="0" w:color="auto"/>
              <w:right w:val="single" w:sz="4" w:space="0" w:color="auto"/>
            </w:tcBorders>
            <w:shd w:val="clear" w:color="auto" w:fill="auto"/>
            <w:noWrap/>
            <w:vAlign w:val="bottom"/>
            <w:hideMark/>
          </w:tcPr>
          <w:p w14:paraId="6F534F7E" w14:textId="77777777" w:rsidR="00802E99" w:rsidRPr="00FC08D5" w:rsidRDefault="00802E99" w:rsidP="004046F0">
            <w:pPr>
              <w:jc w:val="right"/>
              <w:rPr>
                <w:rFonts w:ascii="Arial" w:hAnsi="Arial" w:cs="Arial"/>
                <w:color w:val="000000"/>
              </w:rPr>
            </w:pPr>
            <w:r w:rsidRPr="00FC08D5">
              <w:rPr>
                <w:rFonts w:ascii="Arial" w:hAnsi="Arial" w:cs="Arial"/>
                <w:color w:val="000000"/>
              </w:rPr>
              <w:t>$4.5m</w:t>
            </w:r>
          </w:p>
        </w:tc>
      </w:tr>
      <w:tr w:rsidR="00802E99" w:rsidRPr="00FC08D5" w14:paraId="26B4877C"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B0316EB" w14:textId="77777777" w:rsidR="00802E99" w:rsidRPr="00FC08D5" w:rsidRDefault="00802E99" w:rsidP="004046F0">
            <w:pPr>
              <w:rPr>
                <w:rFonts w:ascii="Arial" w:hAnsi="Arial" w:cs="Arial"/>
                <w:color w:val="000000"/>
              </w:rPr>
            </w:pPr>
            <w:r w:rsidRPr="00FC08D5">
              <w:rPr>
                <w:rFonts w:ascii="Arial" w:hAnsi="Arial" w:cs="Arial"/>
                <w:color w:val="000000"/>
              </w:rPr>
              <w:t>Armadale</w:t>
            </w:r>
          </w:p>
        </w:tc>
        <w:tc>
          <w:tcPr>
            <w:tcW w:w="1640" w:type="dxa"/>
            <w:tcBorders>
              <w:top w:val="nil"/>
              <w:left w:val="nil"/>
              <w:bottom w:val="single" w:sz="4" w:space="0" w:color="auto"/>
              <w:right w:val="single" w:sz="4" w:space="0" w:color="auto"/>
            </w:tcBorders>
            <w:shd w:val="clear" w:color="auto" w:fill="auto"/>
            <w:noWrap/>
            <w:vAlign w:val="bottom"/>
            <w:hideMark/>
          </w:tcPr>
          <w:p w14:paraId="1092DFC9" w14:textId="77777777" w:rsidR="00802E99" w:rsidRPr="00FC08D5" w:rsidRDefault="00802E99" w:rsidP="004046F0">
            <w:pPr>
              <w:jc w:val="right"/>
              <w:rPr>
                <w:rFonts w:ascii="Arial" w:hAnsi="Arial" w:cs="Arial"/>
                <w:color w:val="000000"/>
              </w:rPr>
            </w:pPr>
            <w:r w:rsidRPr="00FC08D5">
              <w:rPr>
                <w:rFonts w:ascii="Arial" w:hAnsi="Arial" w:cs="Arial"/>
                <w:color w:val="000000"/>
              </w:rPr>
              <w:t>162</w:t>
            </w:r>
          </w:p>
        </w:tc>
        <w:tc>
          <w:tcPr>
            <w:tcW w:w="2080" w:type="dxa"/>
            <w:tcBorders>
              <w:top w:val="nil"/>
              <w:left w:val="nil"/>
              <w:bottom w:val="single" w:sz="4" w:space="0" w:color="auto"/>
              <w:right w:val="single" w:sz="4" w:space="0" w:color="auto"/>
            </w:tcBorders>
            <w:shd w:val="clear" w:color="auto" w:fill="auto"/>
            <w:noWrap/>
            <w:vAlign w:val="bottom"/>
            <w:hideMark/>
          </w:tcPr>
          <w:p w14:paraId="6D9FCE26" w14:textId="77777777" w:rsidR="00802E99" w:rsidRPr="00FC08D5" w:rsidRDefault="00802E99" w:rsidP="004046F0">
            <w:pPr>
              <w:jc w:val="right"/>
              <w:rPr>
                <w:rFonts w:ascii="Arial" w:hAnsi="Arial" w:cs="Arial"/>
                <w:color w:val="000000"/>
              </w:rPr>
            </w:pPr>
            <w:r w:rsidRPr="00FC08D5">
              <w:rPr>
                <w:rFonts w:ascii="Arial" w:hAnsi="Arial" w:cs="Arial"/>
                <w:color w:val="000000"/>
              </w:rPr>
              <w:t>$5.1m</w:t>
            </w:r>
          </w:p>
        </w:tc>
      </w:tr>
      <w:tr w:rsidR="00802E99" w:rsidRPr="00FC08D5" w14:paraId="5F50027D"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6BE674D" w14:textId="77777777" w:rsidR="00802E99" w:rsidRPr="00FC08D5" w:rsidRDefault="00802E99" w:rsidP="004046F0">
            <w:pPr>
              <w:rPr>
                <w:rFonts w:ascii="Arial" w:hAnsi="Arial" w:cs="Arial"/>
                <w:color w:val="000000"/>
              </w:rPr>
            </w:pPr>
            <w:r w:rsidRPr="00FC08D5">
              <w:rPr>
                <w:rFonts w:ascii="Arial" w:hAnsi="Arial" w:cs="Arial"/>
                <w:color w:val="000000"/>
              </w:rPr>
              <w:t>Subiaco</w:t>
            </w:r>
          </w:p>
        </w:tc>
        <w:tc>
          <w:tcPr>
            <w:tcW w:w="1640" w:type="dxa"/>
            <w:tcBorders>
              <w:top w:val="nil"/>
              <w:left w:val="nil"/>
              <w:bottom w:val="single" w:sz="4" w:space="0" w:color="auto"/>
              <w:right w:val="single" w:sz="4" w:space="0" w:color="auto"/>
            </w:tcBorders>
            <w:shd w:val="clear" w:color="auto" w:fill="auto"/>
            <w:noWrap/>
            <w:vAlign w:val="bottom"/>
            <w:hideMark/>
          </w:tcPr>
          <w:p w14:paraId="018DEB37" w14:textId="77777777" w:rsidR="00802E99" w:rsidRPr="00FC08D5" w:rsidRDefault="00802E99" w:rsidP="004046F0">
            <w:pPr>
              <w:jc w:val="right"/>
              <w:rPr>
                <w:rFonts w:ascii="Arial" w:hAnsi="Arial" w:cs="Arial"/>
                <w:color w:val="000000"/>
              </w:rPr>
            </w:pPr>
            <w:r w:rsidRPr="00FC08D5">
              <w:rPr>
                <w:rFonts w:ascii="Arial" w:hAnsi="Arial" w:cs="Arial"/>
                <w:color w:val="000000"/>
              </w:rPr>
              <w:t>145</w:t>
            </w:r>
          </w:p>
        </w:tc>
        <w:tc>
          <w:tcPr>
            <w:tcW w:w="2080" w:type="dxa"/>
            <w:tcBorders>
              <w:top w:val="nil"/>
              <w:left w:val="nil"/>
              <w:bottom w:val="single" w:sz="4" w:space="0" w:color="auto"/>
              <w:right w:val="single" w:sz="4" w:space="0" w:color="auto"/>
            </w:tcBorders>
            <w:shd w:val="clear" w:color="auto" w:fill="auto"/>
            <w:noWrap/>
            <w:vAlign w:val="bottom"/>
            <w:hideMark/>
          </w:tcPr>
          <w:p w14:paraId="3C85425F" w14:textId="77777777" w:rsidR="00802E99" w:rsidRPr="00FC08D5" w:rsidRDefault="00802E99" w:rsidP="004046F0">
            <w:pPr>
              <w:jc w:val="right"/>
              <w:rPr>
                <w:rFonts w:ascii="Arial" w:hAnsi="Arial" w:cs="Arial"/>
                <w:color w:val="000000"/>
              </w:rPr>
            </w:pPr>
            <w:r w:rsidRPr="00FC08D5">
              <w:rPr>
                <w:rFonts w:ascii="Arial" w:hAnsi="Arial" w:cs="Arial"/>
                <w:color w:val="000000"/>
              </w:rPr>
              <w:t>$4.9m</w:t>
            </w:r>
          </w:p>
        </w:tc>
      </w:tr>
      <w:tr w:rsidR="00802E99" w:rsidRPr="00FC08D5" w14:paraId="7DE629EE"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B7C61C2" w14:textId="77777777" w:rsidR="00802E99" w:rsidRPr="00FC08D5" w:rsidRDefault="00802E99" w:rsidP="004046F0">
            <w:pPr>
              <w:rPr>
                <w:rFonts w:ascii="Arial" w:hAnsi="Arial" w:cs="Arial"/>
                <w:color w:val="000000"/>
              </w:rPr>
            </w:pPr>
            <w:r w:rsidRPr="00FC08D5">
              <w:rPr>
                <w:rFonts w:ascii="Arial" w:hAnsi="Arial" w:cs="Arial"/>
                <w:color w:val="000000"/>
              </w:rPr>
              <w:t>Kwinana</w:t>
            </w:r>
          </w:p>
        </w:tc>
        <w:tc>
          <w:tcPr>
            <w:tcW w:w="1640" w:type="dxa"/>
            <w:tcBorders>
              <w:top w:val="nil"/>
              <w:left w:val="nil"/>
              <w:bottom w:val="single" w:sz="4" w:space="0" w:color="auto"/>
              <w:right w:val="single" w:sz="4" w:space="0" w:color="auto"/>
            </w:tcBorders>
            <w:shd w:val="clear" w:color="auto" w:fill="auto"/>
            <w:noWrap/>
            <w:vAlign w:val="bottom"/>
            <w:hideMark/>
          </w:tcPr>
          <w:p w14:paraId="0DBF1BFB" w14:textId="77777777" w:rsidR="00802E99" w:rsidRPr="00FC08D5" w:rsidRDefault="00802E99" w:rsidP="004046F0">
            <w:pPr>
              <w:jc w:val="right"/>
              <w:rPr>
                <w:rFonts w:ascii="Arial" w:hAnsi="Arial" w:cs="Arial"/>
                <w:color w:val="000000"/>
              </w:rPr>
            </w:pPr>
            <w:r w:rsidRPr="00FC08D5">
              <w:rPr>
                <w:rFonts w:ascii="Arial" w:hAnsi="Arial" w:cs="Arial"/>
                <w:color w:val="000000"/>
              </w:rPr>
              <w:t>139</w:t>
            </w:r>
          </w:p>
        </w:tc>
        <w:tc>
          <w:tcPr>
            <w:tcW w:w="2080" w:type="dxa"/>
            <w:tcBorders>
              <w:top w:val="nil"/>
              <w:left w:val="nil"/>
              <w:bottom w:val="single" w:sz="4" w:space="0" w:color="auto"/>
              <w:right w:val="single" w:sz="4" w:space="0" w:color="auto"/>
            </w:tcBorders>
            <w:shd w:val="clear" w:color="auto" w:fill="auto"/>
            <w:noWrap/>
            <w:vAlign w:val="bottom"/>
            <w:hideMark/>
          </w:tcPr>
          <w:p w14:paraId="77A1311D" w14:textId="77777777" w:rsidR="00802E99" w:rsidRPr="00FC08D5" w:rsidRDefault="00802E99" w:rsidP="004046F0">
            <w:pPr>
              <w:jc w:val="right"/>
              <w:rPr>
                <w:rFonts w:ascii="Arial" w:hAnsi="Arial" w:cs="Arial"/>
                <w:color w:val="000000"/>
              </w:rPr>
            </w:pPr>
            <w:r w:rsidRPr="00FC08D5">
              <w:rPr>
                <w:rFonts w:ascii="Arial" w:hAnsi="Arial" w:cs="Arial"/>
                <w:color w:val="000000"/>
              </w:rPr>
              <w:t>$6.5m</w:t>
            </w:r>
          </w:p>
        </w:tc>
      </w:tr>
      <w:tr w:rsidR="00802E99" w:rsidRPr="00FC08D5" w14:paraId="354A16C2"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1E38E2B" w14:textId="77777777" w:rsidR="00802E99" w:rsidRPr="00FC08D5" w:rsidRDefault="00802E99" w:rsidP="004046F0">
            <w:pPr>
              <w:rPr>
                <w:rFonts w:ascii="Arial" w:hAnsi="Arial" w:cs="Arial"/>
                <w:color w:val="000000"/>
              </w:rPr>
            </w:pPr>
            <w:r w:rsidRPr="00FC08D5">
              <w:rPr>
                <w:rFonts w:ascii="Arial" w:hAnsi="Arial" w:cs="Arial"/>
                <w:color w:val="000000"/>
              </w:rPr>
              <w:t>Fremantle</w:t>
            </w:r>
          </w:p>
        </w:tc>
        <w:tc>
          <w:tcPr>
            <w:tcW w:w="1640" w:type="dxa"/>
            <w:tcBorders>
              <w:top w:val="nil"/>
              <w:left w:val="nil"/>
              <w:bottom w:val="single" w:sz="4" w:space="0" w:color="auto"/>
              <w:right w:val="single" w:sz="4" w:space="0" w:color="auto"/>
            </w:tcBorders>
            <w:shd w:val="clear" w:color="auto" w:fill="auto"/>
            <w:noWrap/>
            <w:vAlign w:val="bottom"/>
            <w:hideMark/>
          </w:tcPr>
          <w:p w14:paraId="11D1C118" w14:textId="77777777" w:rsidR="00802E99" w:rsidRPr="00FC08D5" w:rsidRDefault="00802E99" w:rsidP="004046F0">
            <w:pPr>
              <w:jc w:val="right"/>
              <w:rPr>
                <w:rFonts w:ascii="Arial" w:hAnsi="Arial" w:cs="Arial"/>
                <w:color w:val="000000"/>
              </w:rPr>
            </w:pPr>
            <w:r w:rsidRPr="00FC08D5">
              <w:rPr>
                <w:rFonts w:ascii="Arial" w:hAnsi="Arial" w:cs="Arial"/>
                <w:color w:val="000000"/>
              </w:rPr>
              <w:t>130</w:t>
            </w:r>
          </w:p>
        </w:tc>
        <w:tc>
          <w:tcPr>
            <w:tcW w:w="2080" w:type="dxa"/>
            <w:tcBorders>
              <w:top w:val="nil"/>
              <w:left w:val="nil"/>
              <w:bottom w:val="single" w:sz="4" w:space="0" w:color="auto"/>
              <w:right w:val="single" w:sz="4" w:space="0" w:color="auto"/>
            </w:tcBorders>
            <w:shd w:val="clear" w:color="auto" w:fill="auto"/>
            <w:noWrap/>
            <w:vAlign w:val="bottom"/>
            <w:hideMark/>
          </w:tcPr>
          <w:p w14:paraId="36E97569" w14:textId="77777777" w:rsidR="00802E99" w:rsidRPr="00FC08D5" w:rsidRDefault="00802E99" w:rsidP="004046F0">
            <w:pPr>
              <w:jc w:val="right"/>
              <w:rPr>
                <w:rFonts w:ascii="Arial" w:hAnsi="Arial" w:cs="Arial"/>
                <w:color w:val="000000"/>
              </w:rPr>
            </w:pPr>
            <w:r w:rsidRPr="00FC08D5">
              <w:rPr>
                <w:rFonts w:ascii="Arial" w:hAnsi="Arial" w:cs="Arial"/>
                <w:color w:val="000000"/>
              </w:rPr>
              <w:t>$6.5m</w:t>
            </w:r>
          </w:p>
        </w:tc>
      </w:tr>
      <w:tr w:rsidR="00802E99" w:rsidRPr="00FC08D5" w14:paraId="5AB3B011"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657F39B" w14:textId="77777777" w:rsidR="00802E99" w:rsidRPr="00FC08D5" w:rsidRDefault="00802E99" w:rsidP="004046F0">
            <w:pPr>
              <w:rPr>
                <w:rFonts w:ascii="Arial" w:hAnsi="Arial" w:cs="Arial"/>
                <w:color w:val="000000"/>
              </w:rPr>
            </w:pPr>
            <w:r w:rsidRPr="00FC08D5">
              <w:rPr>
                <w:rFonts w:ascii="Arial" w:hAnsi="Arial" w:cs="Arial"/>
                <w:color w:val="000000"/>
              </w:rPr>
              <w:t>Melville</w:t>
            </w:r>
          </w:p>
        </w:tc>
        <w:tc>
          <w:tcPr>
            <w:tcW w:w="1640" w:type="dxa"/>
            <w:tcBorders>
              <w:top w:val="nil"/>
              <w:left w:val="nil"/>
              <w:bottom w:val="single" w:sz="4" w:space="0" w:color="auto"/>
              <w:right w:val="single" w:sz="4" w:space="0" w:color="auto"/>
            </w:tcBorders>
            <w:shd w:val="clear" w:color="auto" w:fill="auto"/>
            <w:noWrap/>
            <w:vAlign w:val="bottom"/>
            <w:hideMark/>
          </w:tcPr>
          <w:p w14:paraId="27296710" w14:textId="77777777" w:rsidR="00802E99" w:rsidRPr="00FC08D5" w:rsidRDefault="00802E99" w:rsidP="004046F0">
            <w:pPr>
              <w:jc w:val="right"/>
              <w:rPr>
                <w:rFonts w:ascii="Arial" w:hAnsi="Arial" w:cs="Arial"/>
                <w:color w:val="000000"/>
              </w:rPr>
            </w:pPr>
            <w:r w:rsidRPr="00FC08D5">
              <w:rPr>
                <w:rFonts w:ascii="Arial" w:hAnsi="Arial" w:cs="Arial"/>
                <w:color w:val="000000"/>
              </w:rPr>
              <w:t>129</w:t>
            </w:r>
          </w:p>
        </w:tc>
        <w:tc>
          <w:tcPr>
            <w:tcW w:w="2080" w:type="dxa"/>
            <w:tcBorders>
              <w:top w:val="nil"/>
              <w:left w:val="nil"/>
              <w:bottom w:val="single" w:sz="4" w:space="0" w:color="auto"/>
              <w:right w:val="single" w:sz="4" w:space="0" w:color="auto"/>
            </w:tcBorders>
            <w:shd w:val="clear" w:color="auto" w:fill="auto"/>
            <w:noWrap/>
            <w:vAlign w:val="bottom"/>
            <w:hideMark/>
          </w:tcPr>
          <w:p w14:paraId="7A639E0F" w14:textId="77777777" w:rsidR="00802E99" w:rsidRPr="00FC08D5" w:rsidRDefault="00802E99" w:rsidP="004046F0">
            <w:pPr>
              <w:jc w:val="right"/>
              <w:rPr>
                <w:rFonts w:ascii="Arial" w:hAnsi="Arial" w:cs="Arial"/>
                <w:color w:val="000000"/>
              </w:rPr>
            </w:pPr>
            <w:r w:rsidRPr="00FC08D5">
              <w:rPr>
                <w:rFonts w:ascii="Arial" w:hAnsi="Arial" w:cs="Arial"/>
                <w:color w:val="000000"/>
              </w:rPr>
              <w:t>$6.7m</w:t>
            </w:r>
          </w:p>
        </w:tc>
      </w:tr>
      <w:tr w:rsidR="00802E99" w:rsidRPr="00FC08D5" w14:paraId="44F24DBC"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A765784" w14:textId="77777777" w:rsidR="00802E99" w:rsidRPr="00FC08D5" w:rsidRDefault="00802E99" w:rsidP="004046F0">
            <w:pPr>
              <w:rPr>
                <w:rFonts w:ascii="Arial" w:hAnsi="Arial" w:cs="Arial"/>
                <w:color w:val="000000"/>
              </w:rPr>
            </w:pPr>
            <w:r w:rsidRPr="00FC08D5">
              <w:rPr>
                <w:rFonts w:ascii="Arial" w:hAnsi="Arial" w:cs="Arial"/>
                <w:color w:val="000000"/>
              </w:rPr>
              <w:t>Bayswater</w:t>
            </w:r>
          </w:p>
        </w:tc>
        <w:tc>
          <w:tcPr>
            <w:tcW w:w="1640" w:type="dxa"/>
            <w:tcBorders>
              <w:top w:val="nil"/>
              <w:left w:val="nil"/>
              <w:bottom w:val="single" w:sz="4" w:space="0" w:color="auto"/>
              <w:right w:val="single" w:sz="4" w:space="0" w:color="auto"/>
            </w:tcBorders>
            <w:shd w:val="clear" w:color="auto" w:fill="auto"/>
            <w:noWrap/>
            <w:vAlign w:val="bottom"/>
            <w:hideMark/>
          </w:tcPr>
          <w:p w14:paraId="69082689" w14:textId="77777777" w:rsidR="00802E99" w:rsidRPr="00FC08D5" w:rsidRDefault="00802E99" w:rsidP="004046F0">
            <w:pPr>
              <w:jc w:val="right"/>
              <w:rPr>
                <w:rFonts w:ascii="Arial" w:hAnsi="Arial" w:cs="Arial"/>
                <w:color w:val="000000"/>
              </w:rPr>
            </w:pPr>
            <w:r w:rsidRPr="00FC08D5">
              <w:rPr>
                <w:rFonts w:ascii="Arial" w:hAnsi="Arial" w:cs="Arial"/>
                <w:color w:val="000000"/>
              </w:rPr>
              <w:t>86</w:t>
            </w:r>
          </w:p>
        </w:tc>
        <w:tc>
          <w:tcPr>
            <w:tcW w:w="2080" w:type="dxa"/>
            <w:tcBorders>
              <w:top w:val="nil"/>
              <w:left w:val="nil"/>
              <w:bottom w:val="single" w:sz="4" w:space="0" w:color="auto"/>
              <w:right w:val="single" w:sz="4" w:space="0" w:color="auto"/>
            </w:tcBorders>
            <w:shd w:val="clear" w:color="auto" w:fill="auto"/>
            <w:noWrap/>
            <w:vAlign w:val="bottom"/>
            <w:hideMark/>
          </w:tcPr>
          <w:p w14:paraId="78BB4FD3" w14:textId="77777777" w:rsidR="00802E99" w:rsidRPr="00FC08D5" w:rsidRDefault="00802E99" w:rsidP="004046F0">
            <w:pPr>
              <w:jc w:val="right"/>
              <w:rPr>
                <w:rFonts w:ascii="Arial" w:hAnsi="Arial" w:cs="Arial"/>
                <w:color w:val="000000"/>
              </w:rPr>
            </w:pPr>
            <w:r w:rsidRPr="00FC08D5">
              <w:rPr>
                <w:rFonts w:ascii="Arial" w:hAnsi="Arial" w:cs="Arial"/>
                <w:color w:val="000000"/>
              </w:rPr>
              <w:t>$1.4m</w:t>
            </w:r>
          </w:p>
        </w:tc>
      </w:tr>
      <w:tr w:rsidR="00802E99" w:rsidRPr="00FC08D5" w14:paraId="2D69FA33"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1E9CF759" w14:textId="77777777" w:rsidR="00802E99" w:rsidRPr="00FC08D5" w:rsidRDefault="00802E99" w:rsidP="004046F0">
            <w:pPr>
              <w:rPr>
                <w:rFonts w:ascii="Arial" w:hAnsi="Arial" w:cs="Arial"/>
                <w:color w:val="000000"/>
              </w:rPr>
            </w:pPr>
            <w:r w:rsidRPr="00FC08D5">
              <w:rPr>
                <w:rFonts w:ascii="Arial" w:hAnsi="Arial" w:cs="Arial"/>
                <w:color w:val="000000"/>
              </w:rPr>
              <w:t>Victoria Park</w:t>
            </w:r>
          </w:p>
        </w:tc>
        <w:tc>
          <w:tcPr>
            <w:tcW w:w="1640" w:type="dxa"/>
            <w:tcBorders>
              <w:top w:val="nil"/>
              <w:left w:val="nil"/>
              <w:bottom w:val="single" w:sz="4" w:space="0" w:color="auto"/>
              <w:right w:val="single" w:sz="4" w:space="0" w:color="auto"/>
            </w:tcBorders>
            <w:shd w:val="clear" w:color="auto" w:fill="auto"/>
            <w:noWrap/>
            <w:vAlign w:val="bottom"/>
          </w:tcPr>
          <w:p w14:paraId="06C9C0D7" w14:textId="77777777" w:rsidR="00802E99" w:rsidRPr="00FC08D5" w:rsidRDefault="00802E99" w:rsidP="004046F0">
            <w:pPr>
              <w:jc w:val="right"/>
              <w:rPr>
                <w:rFonts w:ascii="Arial" w:hAnsi="Arial" w:cs="Arial"/>
                <w:color w:val="000000"/>
              </w:rPr>
            </w:pPr>
            <w:r w:rsidRPr="00FC08D5">
              <w:rPr>
                <w:rFonts w:ascii="Arial" w:hAnsi="Arial" w:cs="Arial"/>
                <w:color w:val="000000"/>
              </w:rPr>
              <w:t>84</w:t>
            </w:r>
          </w:p>
        </w:tc>
        <w:tc>
          <w:tcPr>
            <w:tcW w:w="2080" w:type="dxa"/>
            <w:tcBorders>
              <w:top w:val="nil"/>
              <w:left w:val="nil"/>
              <w:bottom w:val="single" w:sz="4" w:space="0" w:color="auto"/>
              <w:right w:val="single" w:sz="4" w:space="0" w:color="auto"/>
            </w:tcBorders>
            <w:shd w:val="clear" w:color="auto" w:fill="auto"/>
            <w:noWrap/>
            <w:vAlign w:val="bottom"/>
          </w:tcPr>
          <w:p w14:paraId="04F7B1BB" w14:textId="77777777" w:rsidR="00802E99" w:rsidRPr="00FC08D5" w:rsidRDefault="00802E99" w:rsidP="004046F0">
            <w:pPr>
              <w:jc w:val="right"/>
              <w:rPr>
                <w:rFonts w:ascii="Arial" w:hAnsi="Arial" w:cs="Arial"/>
                <w:color w:val="000000"/>
              </w:rPr>
            </w:pPr>
            <w:r w:rsidRPr="00FC08D5">
              <w:rPr>
                <w:rFonts w:ascii="Arial" w:hAnsi="Arial" w:cs="Arial"/>
                <w:color w:val="000000"/>
              </w:rPr>
              <w:t>$5.6m</w:t>
            </w:r>
          </w:p>
        </w:tc>
      </w:tr>
      <w:tr w:rsidR="00802E99" w:rsidRPr="00FC08D5" w14:paraId="7DAEA845" w14:textId="77777777" w:rsidTr="004046F0">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55B030E5" w14:textId="77777777" w:rsidR="00802E99" w:rsidRPr="00FC08D5" w:rsidRDefault="00802E99" w:rsidP="004046F0">
            <w:pPr>
              <w:rPr>
                <w:rFonts w:ascii="Arial" w:hAnsi="Arial" w:cs="Arial"/>
                <w:color w:val="000000"/>
              </w:rPr>
            </w:pPr>
            <w:r w:rsidRPr="00FC08D5">
              <w:rPr>
                <w:rFonts w:ascii="Arial" w:hAnsi="Arial" w:cs="Arial"/>
                <w:color w:val="000000"/>
              </w:rPr>
              <w:t>All other metro</w:t>
            </w:r>
          </w:p>
        </w:tc>
        <w:tc>
          <w:tcPr>
            <w:tcW w:w="1640" w:type="dxa"/>
            <w:tcBorders>
              <w:top w:val="nil"/>
              <w:left w:val="nil"/>
              <w:bottom w:val="single" w:sz="4" w:space="0" w:color="auto"/>
              <w:right w:val="single" w:sz="4" w:space="0" w:color="auto"/>
            </w:tcBorders>
            <w:shd w:val="clear" w:color="auto" w:fill="auto"/>
            <w:noWrap/>
            <w:vAlign w:val="bottom"/>
          </w:tcPr>
          <w:p w14:paraId="6350AE23" w14:textId="77777777" w:rsidR="00802E99" w:rsidRPr="00FC08D5" w:rsidRDefault="00802E99" w:rsidP="004046F0">
            <w:pPr>
              <w:jc w:val="right"/>
              <w:rPr>
                <w:rFonts w:ascii="Arial" w:hAnsi="Arial" w:cs="Arial"/>
                <w:color w:val="000000"/>
              </w:rPr>
            </w:pPr>
            <w:r w:rsidRPr="00FC08D5">
              <w:rPr>
                <w:rFonts w:ascii="Arial" w:hAnsi="Arial" w:cs="Arial"/>
                <w:color w:val="000000"/>
              </w:rPr>
              <w:t>466</w:t>
            </w:r>
          </w:p>
        </w:tc>
        <w:tc>
          <w:tcPr>
            <w:tcW w:w="2080" w:type="dxa"/>
            <w:tcBorders>
              <w:top w:val="nil"/>
              <w:left w:val="nil"/>
              <w:bottom w:val="single" w:sz="4" w:space="0" w:color="auto"/>
              <w:right w:val="single" w:sz="4" w:space="0" w:color="auto"/>
            </w:tcBorders>
            <w:shd w:val="clear" w:color="auto" w:fill="auto"/>
            <w:noWrap/>
            <w:vAlign w:val="bottom"/>
          </w:tcPr>
          <w:p w14:paraId="2935529A" w14:textId="77777777" w:rsidR="00802E99" w:rsidRPr="00FC08D5" w:rsidRDefault="00802E99" w:rsidP="004046F0">
            <w:pPr>
              <w:jc w:val="right"/>
              <w:rPr>
                <w:rFonts w:ascii="Arial" w:hAnsi="Arial" w:cs="Arial"/>
                <w:color w:val="000000"/>
              </w:rPr>
            </w:pPr>
            <w:r w:rsidRPr="00FC08D5">
              <w:rPr>
                <w:rFonts w:ascii="Arial" w:hAnsi="Arial" w:cs="Arial"/>
                <w:color w:val="000000"/>
              </w:rPr>
              <w:t>$14.5m</w:t>
            </w:r>
          </w:p>
        </w:tc>
      </w:tr>
      <w:tr w:rsidR="00802E99" w:rsidRPr="00CF644F" w14:paraId="4FC27D4E" w14:textId="77777777" w:rsidTr="004046F0">
        <w:trPr>
          <w:trHeight w:val="315"/>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07A6677" w14:textId="77777777" w:rsidR="00802E99" w:rsidRPr="00FC08D5" w:rsidRDefault="00802E99" w:rsidP="004046F0">
            <w:pPr>
              <w:rPr>
                <w:rFonts w:ascii="Arial" w:hAnsi="Arial" w:cs="Arial"/>
                <w:b/>
                <w:bCs/>
                <w:color w:val="000000"/>
                <w:szCs w:val="24"/>
                <w:lang w:eastAsia="en-AU"/>
              </w:rPr>
            </w:pPr>
            <w:r w:rsidRPr="00FC08D5">
              <w:rPr>
                <w:rFonts w:ascii="Arial" w:hAnsi="Arial" w:cs="Arial"/>
                <w:b/>
                <w:bCs/>
                <w:color w:val="000000"/>
                <w:szCs w:val="24"/>
                <w:lang w:eastAsia="en-AU"/>
              </w:rPr>
              <w:t>Total Metropolitan Areas</w:t>
            </w:r>
          </w:p>
        </w:tc>
        <w:tc>
          <w:tcPr>
            <w:tcW w:w="1640" w:type="dxa"/>
            <w:tcBorders>
              <w:top w:val="nil"/>
              <w:left w:val="nil"/>
              <w:bottom w:val="single" w:sz="4" w:space="0" w:color="auto"/>
              <w:right w:val="single" w:sz="4" w:space="0" w:color="auto"/>
            </w:tcBorders>
            <w:shd w:val="clear" w:color="auto" w:fill="auto"/>
            <w:noWrap/>
            <w:vAlign w:val="bottom"/>
            <w:hideMark/>
          </w:tcPr>
          <w:p w14:paraId="62B99F65" w14:textId="77777777" w:rsidR="00802E99" w:rsidRPr="00FC08D5" w:rsidRDefault="00802E99" w:rsidP="004046F0">
            <w:pPr>
              <w:jc w:val="right"/>
              <w:rPr>
                <w:rFonts w:ascii="Arial" w:hAnsi="Arial" w:cs="Arial"/>
                <w:b/>
                <w:bCs/>
                <w:color w:val="000000"/>
                <w:szCs w:val="24"/>
                <w:lang w:eastAsia="en-AU"/>
              </w:rPr>
            </w:pPr>
            <w:r w:rsidRPr="00FC08D5">
              <w:rPr>
                <w:rFonts w:ascii="Arial" w:hAnsi="Arial" w:cs="Arial"/>
                <w:b/>
                <w:bCs/>
                <w:color w:val="000000"/>
                <w:szCs w:val="24"/>
                <w:lang w:eastAsia="en-AU"/>
              </w:rPr>
              <w:t>3,354</w:t>
            </w:r>
          </w:p>
        </w:tc>
        <w:tc>
          <w:tcPr>
            <w:tcW w:w="2080" w:type="dxa"/>
            <w:tcBorders>
              <w:top w:val="nil"/>
              <w:left w:val="nil"/>
              <w:bottom w:val="single" w:sz="4" w:space="0" w:color="auto"/>
              <w:right w:val="single" w:sz="4" w:space="0" w:color="auto"/>
            </w:tcBorders>
            <w:shd w:val="clear" w:color="auto" w:fill="auto"/>
            <w:noWrap/>
            <w:vAlign w:val="bottom"/>
            <w:hideMark/>
          </w:tcPr>
          <w:p w14:paraId="0624E06E" w14:textId="77777777" w:rsidR="00802E99" w:rsidRPr="00FC08D5" w:rsidRDefault="00802E99" w:rsidP="004046F0">
            <w:pPr>
              <w:jc w:val="right"/>
              <w:rPr>
                <w:rFonts w:ascii="Arial" w:hAnsi="Arial" w:cs="Arial"/>
                <w:b/>
                <w:bCs/>
                <w:color w:val="000000"/>
                <w:szCs w:val="24"/>
                <w:lang w:eastAsia="en-AU"/>
              </w:rPr>
            </w:pPr>
            <w:r w:rsidRPr="00FC08D5">
              <w:rPr>
                <w:rFonts w:ascii="Arial" w:hAnsi="Arial" w:cs="Arial"/>
                <w:b/>
                <w:bCs/>
                <w:color w:val="000000"/>
                <w:szCs w:val="24"/>
                <w:lang w:eastAsia="en-AU"/>
              </w:rPr>
              <w:t>$117.6m</w:t>
            </w:r>
          </w:p>
        </w:tc>
      </w:tr>
    </w:tbl>
    <w:p w14:paraId="734DECA7" w14:textId="77777777" w:rsidR="00802E99" w:rsidRPr="00CF644F" w:rsidRDefault="00802E99" w:rsidP="00802E99">
      <w:pPr>
        <w:rPr>
          <w:rFonts w:ascii="Arial" w:hAnsi="Arial" w:cs="Arial"/>
          <w:color w:val="000000"/>
          <w:szCs w:val="24"/>
        </w:rPr>
      </w:pPr>
    </w:p>
    <w:p w14:paraId="0F7CC246" w14:textId="77777777" w:rsidR="00802E99" w:rsidRPr="00621C02" w:rsidRDefault="00802E99" w:rsidP="00802E99">
      <w:pPr>
        <w:rPr>
          <w:rFonts w:ascii="Arial" w:hAnsi="Arial" w:cs="Arial"/>
          <w:color w:val="000000"/>
          <w:szCs w:val="24"/>
        </w:rPr>
      </w:pPr>
      <w:r>
        <w:rPr>
          <w:rFonts w:ascii="Arial" w:hAnsi="Arial" w:cs="Arial"/>
          <w:color w:val="000000"/>
          <w:szCs w:val="24"/>
        </w:rPr>
        <w:t xml:space="preserve">Each new workers’ compensation claim received by RiskCover is categorised by injury type (mechanism), as this helps to identify trends for agencies seeking to address the cause of injury. This information is set out </w:t>
      </w:r>
      <w:r w:rsidRPr="00621C02">
        <w:rPr>
          <w:rFonts w:ascii="Arial" w:hAnsi="Arial" w:cs="Arial"/>
          <w:color w:val="000000"/>
          <w:szCs w:val="24"/>
        </w:rPr>
        <w:t xml:space="preserve">below </w:t>
      </w:r>
      <w:r>
        <w:rPr>
          <w:rFonts w:ascii="Arial" w:hAnsi="Arial" w:cs="Arial"/>
          <w:color w:val="000000"/>
          <w:szCs w:val="24"/>
        </w:rPr>
        <w:t xml:space="preserve">along with </w:t>
      </w:r>
      <w:r w:rsidRPr="00621C02">
        <w:rPr>
          <w:rFonts w:ascii="Arial" w:hAnsi="Arial" w:cs="Arial"/>
          <w:color w:val="000000"/>
          <w:szCs w:val="24"/>
        </w:rPr>
        <w:t>the number and cost of claims finalised during 201</w:t>
      </w:r>
      <w:r>
        <w:rPr>
          <w:rFonts w:ascii="Arial" w:hAnsi="Arial" w:cs="Arial"/>
          <w:color w:val="000000"/>
          <w:szCs w:val="24"/>
        </w:rPr>
        <w:t>8</w:t>
      </w:r>
      <w:r w:rsidRPr="00621C02">
        <w:rPr>
          <w:rFonts w:ascii="Arial" w:hAnsi="Arial" w:cs="Arial"/>
          <w:color w:val="000000"/>
          <w:szCs w:val="24"/>
        </w:rPr>
        <w:t xml:space="preserve">, regardless of the year of lodgement. </w:t>
      </w:r>
    </w:p>
    <w:p w14:paraId="4035B7CB" w14:textId="77777777" w:rsidR="00802E99" w:rsidRDefault="00802E99" w:rsidP="00802E99">
      <w:pPr>
        <w:rPr>
          <w:rFonts w:ascii="Arial" w:hAnsi="Arial" w:cs="Arial"/>
          <w:color w:val="000000"/>
          <w:szCs w:val="24"/>
        </w:rPr>
      </w:pPr>
    </w:p>
    <w:p w14:paraId="67D8C1B5" w14:textId="77777777" w:rsidR="00802E99" w:rsidRDefault="00802E99" w:rsidP="00802E99">
      <w:pPr>
        <w:rPr>
          <w:rFonts w:ascii="Arial" w:hAnsi="Arial" w:cs="Arial"/>
          <w:color w:val="000000"/>
          <w:szCs w:val="24"/>
        </w:rPr>
      </w:pPr>
      <w:r>
        <w:rPr>
          <w:rFonts w:ascii="Arial" w:hAnsi="Arial" w:cs="Arial"/>
          <w:color w:val="000000"/>
          <w:szCs w:val="24"/>
        </w:rPr>
        <w:lastRenderedPageBreak/>
        <w:t xml:space="preserve">The average cost of finalised mental stress claims in 2018 was $77,000 compared to the average cost of a ‘being hit by a moving object’ claim of $26,000. Mental stress claims also contribute a significantly higher proportion of the payments (19.4%) when compared to the proportion of claims finalised (8.6%) for that category. </w:t>
      </w:r>
    </w:p>
    <w:p w14:paraId="018C2A3A" w14:textId="77777777" w:rsidR="00802E99" w:rsidRDefault="00802E99" w:rsidP="00802E99">
      <w:pPr>
        <w:rPr>
          <w:rFonts w:ascii="Arial" w:hAnsi="Arial" w:cs="Arial"/>
          <w:color w:val="000000"/>
          <w:szCs w:val="24"/>
        </w:rPr>
      </w:pPr>
    </w:p>
    <w:p w14:paraId="793CB501" w14:textId="77777777" w:rsidR="00802E99" w:rsidRPr="00621C02" w:rsidRDefault="00802E99" w:rsidP="00802E99">
      <w:pPr>
        <w:rPr>
          <w:rFonts w:ascii="Arial" w:hAnsi="Arial" w:cs="Arial"/>
          <w:color w:val="000000"/>
          <w:szCs w:val="24"/>
        </w:rPr>
      </w:pPr>
      <w:r>
        <w:rPr>
          <w:rFonts w:ascii="Arial" w:hAnsi="Arial" w:cs="Arial"/>
          <w:color w:val="000000"/>
          <w:szCs w:val="24"/>
        </w:rPr>
        <w:t>Body stress claims represented the highest number finalised (1,905) and value ($74.2 million) during 2018 at an average cost of $39,000 per claim. Body stress claims are defined as injuries or disease from strain placed on muscles, tendons, ligaments or bones.</w:t>
      </w:r>
    </w:p>
    <w:p w14:paraId="28F8E193" w14:textId="77777777" w:rsidR="00802E99" w:rsidRPr="00CF644F" w:rsidRDefault="00802E99" w:rsidP="00802E99">
      <w:pPr>
        <w:rPr>
          <w:rFonts w:ascii="Arial" w:hAnsi="Arial" w:cs="Arial"/>
          <w:color w:val="000000"/>
          <w:szCs w:val="24"/>
        </w:rPr>
      </w:pPr>
    </w:p>
    <w:p w14:paraId="6EF28D4E" w14:textId="77777777" w:rsidR="00802E99" w:rsidRPr="002B7D83" w:rsidRDefault="00802E99" w:rsidP="00802E99">
      <w:pPr>
        <w:rPr>
          <w:rFonts w:ascii="Arial" w:hAnsi="Arial" w:cs="Arial"/>
          <w:i/>
          <w:color w:val="000000"/>
          <w:szCs w:val="24"/>
        </w:rPr>
      </w:pPr>
      <w:r w:rsidRPr="002B7D83">
        <w:rPr>
          <w:rFonts w:ascii="Arial" w:hAnsi="Arial" w:cs="Arial"/>
          <w:i/>
          <w:color w:val="000000"/>
          <w:szCs w:val="24"/>
        </w:rPr>
        <w:t>Infographic – Finalised Workers' Compensation Claims - Injury Causes</w:t>
      </w:r>
    </w:p>
    <w:p w14:paraId="6A23DF6C" w14:textId="77777777" w:rsidR="00802E99" w:rsidRPr="002B7D83" w:rsidRDefault="00802E99" w:rsidP="00802E99">
      <w:pPr>
        <w:rPr>
          <w:rFonts w:ascii="Arial" w:hAnsi="Arial" w:cs="Arial"/>
          <w:i/>
          <w:color w:val="000000"/>
          <w:szCs w:val="24"/>
        </w:rPr>
      </w:pPr>
    </w:p>
    <w:tbl>
      <w:tblPr>
        <w:tblW w:w="9060" w:type="dxa"/>
        <w:tblLook w:val="04A0" w:firstRow="1" w:lastRow="0" w:firstColumn="1" w:lastColumn="0" w:noHBand="0" w:noVBand="1"/>
      </w:tblPr>
      <w:tblGrid>
        <w:gridCol w:w="3494"/>
        <w:gridCol w:w="1341"/>
        <w:gridCol w:w="1904"/>
        <w:gridCol w:w="1104"/>
        <w:gridCol w:w="1217"/>
      </w:tblGrid>
      <w:tr w:rsidR="00802E99" w:rsidRPr="002B7D83" w14:paraId="10B4AC2B" w14:textId="77777777" w:rsidTr="004046F0">
        <w:trPr>
          <w:trHeight w:val="315"/>
        </w:trPr>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F1643" w14:textId="77777777" w:rsidR="00802E99" w:rsidRPr="002B7D83" w:rsidRDefault="00802E99" w:rsidP="004046F0">
            <w:pPr>
              <w:rPr>
                <w:rFonts w:ascii="Arial" w:hAnsi="Arial" w:cs="Arial"/>
                <w:b/>
                <w:bCs/>
                <w:color w:val="000000"/>
                <w:szCs w:val="24"/>
                <w:lang w:eastAsia="en-AU"/>
              </w:rPr>
            </w:pPr>
            <w:r w:rsidRPr="002B7D83">
              <w:rPr>
                <w:rFonts w:ascii="Arial" w:hAnsi="Arial" w:cs="Arial"/>
                <w:b/>
                <w:bCs/>
                <w:color w:val="000000"/>
                <w:szCs w:val="24"/>
                <w:lang w:eastAsia="en-AU"/>
              </w:rPr>
              <w:t>Injury Type</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7845F4FC" w14:textId="5E2D0695" w:rsidR="00802E99" w:rsidRPr="002B7D83" w:rsidRDefault="00802E99" w:rsidP="002B7D83">
            <w:pPr>
              <w:rPr>
                <w:rFonts w:ascii="Arial" w:hAnsi="Arial" w:cs="Arial"/>
                <w:b/>
                <w:bCs/>
                <w:color w:val="000000"/>
                <w:szCs w:val="24"/>
                <w:lang w:eastAsia="en-AU"/>
              </w:rPr>
            </w:pPr>
            <w:r w:rsidRPr="002B7D83">
              <w:rPr>
                <w:rFonts w:ascii="Arial" w:hAnsi="Arial" w:cs="Arial"/>
                <w:b/>
                <w:bCs/>
                <w:color w:val="000000"/>
                <w:szCs w:val="24"/>
                <w:lang w:eastAsia="en-AU"/>
              </w:rPr>
              <w:t>Total Claims</w:t>
            </w:r>
          </w:p>
        </w:tc>
        <w:tc>
          <w:tcPr>
            <w:tcW w:w="1904" w:type="dxa"/>
            <w:tcBorders>
              <w:top w:val="single" w:sz="4" w:space="0" w:color="auto"/>
              <w:left w:val="nil"/>
              <w:bottom w:val="single" w:sz="4" w:space="0" w:color="auto"/>
              <w:right w:val="single" w:sz="4" w:space="0" w:color="auto"/>
            </w:tcBorders>
            <w:shd w:val="clear" w:color="auto" w:fill="auto"/>
            <w:noWrap/>
            <w:vAlign w:val="bottom"/>
            <w:hideMark/>
          </w:tcPr>
          <w:p w14:paraId="2ED45013" w14:textId="77777777" w:rsidR="00802E99" w:rsidRPr="002B7D83" w:rsidRDefault="00802E99" w:rsidP="004046F0">
            <w:pPr>
              <w:rPr>
                <w:rFonts w:ascii="Arial" w:hAnsi="Arial" w:cs="Arial"/>
                <w:b/>
                <w:bCs/>
                <w:color w:val="000000"/>
                <w:szCs w:val="24"/>
                <w:lang w:eastAsia="en-AU"/>
              </w:rPr>
            </w:pPr>
            <w:r w:rsidRPr="002B7D83">
              <w:rPr>
                <w:rFonts w:ascii="Arial" w:hAnsi="Arial" w:cs="Arial"/>
                <w:b/>
                <w:bCs/>
                <w:color w:val="000000"/>
                <w:szCs w:val="24"/>
                <w:lang w:eastAsia="en-AU"/>
              </w:rPr>
              <w:t>Total Payment</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14:paraId="2210AB5E" w14:textId="77777777" w:rsidR="00802E99" w:rsidRPr="002B7D83" w:rsidRDefault="00802E99" w:rsidP="004046F0">
            <w:pPr>
              <w:rPr>
                <w:rFonts w:ascii="Arial" w:hAnsi="Arial" w:cs="Arial"/>
                <w:b/>
                <w:bCs/>
                <w:color w:val="000000"/>
                <w:szCs w:val="24"/>
                <w:lang w:eastAsia="en-AU"/>
              </w:rPr>
            </w:pPr>
            <w:r w:rsidRPr="002B7D83">
              <w:rPr>
                <w:rFonts w:ascii="Arial" w:hAnsi="Arial" w:cs="Arial"/>
                <w:b/>
                <w:bCs/>
                <w:color w:val="000000"/>
                <w:szCs w:val="24"/>
                <w:lang w:eastAsia="en-AU"/>
              </w:rPr>
              <w:t>% Claims</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14:paraId="748AED0B" w14:textId="77777777" w:rsidR="00802E99" w:rsidRPr="002B7D83" w:rsidRDefault="00802E99" w:rsidP="004046F0">
            <w:pPr>
              <w:rPr>
                <w:rFonts w:ascii="Arial" w:hAnsi="Arial" w:cs="Arial"/>
                <w:b/>
                <w:bCs/>
                <w:color w:val="000000"/>
                <w:szCs w:val="24"/>
                <w:lang w:eastAsia="en-AU"/>
              </w:rPr>
            </w:pPr>
            <w:r w:rsidRPr="002B7D83">
              <w:rPr>
                <w:rFonts w:ascii="Arial" w:hAnsi="Arial" w:cs="Arial"/>
                <w:b/>
                <w:bCs/>
                <w:color w:val="000000"/>
                <w:szCs w:val="24"/>
                <w:lang w:eastAsia="en-AU"/>
              </w:rPr>
              <w:t>% Payment</w:t>
            </w:r>
          </w:p>
        </w:tc>
      </w:tr>
      <w:tr w:rsidR="00802E99" w:rsidRPr="002B7D83" w14:paraId="4C21D6E7" w14:textId="77777777" w:rsidTr="004046F0">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14:paraId="7E3DBA1F" w14:textId="77777777" w:rsidR="00802E99" w:rsidRPr="002B7D83" w:rsidRDefault="00802E99" w:rsidP="004046F0">
            <w:pPr>
              <w:jc w:val="left"/>
              <w:rPr>
                <w:rFonts w:ascii="Arial" w:hAnsi="Arial" w:cs="Arial"/>
                <w:color w:val="000000"/>
                <w:lang w:eastAsia="en-AU"/>
              </w:rPr>
            </w:pPr>
            <w:r w:rsidRPr="002B7D83">
              <w:rPr>
                <w:rFonts w:ascii="Arial" w:hAnsi="Arial" w:cs="Arial"/>
                <w:color w:val="000000"/>
              </w:rPr>
              <w:t>Hit by Moving Objects</w:t>
            </w:r>
          </w:p>
        </w:tc>
        <w:tc>
          <w:tcPr>
            <w:tcW w:w="1341" w:type="dxa"/>
            <w:tcBorders>
              <w:top w:val="nil"/>
              <w:left w:val="nil"/>
              <w:bottom w:val="single" w:sz="4" w:space="0" w:color="auto"/>
              <w:right w:val="single" w:sz="4" w:space="0" w:color="auto"/>
            </w:tcBorders>
            <w:shd w:val="clear" w:color="auto" w:fill="auto"/>
            <w:noWrap/>
            <w:vAlign w:val="bottom"/>
            <w:hideMark/>
          </w:tcPr>
          <w:p w14:paraId="211A2290" w14:textId="77777777" w:rsidR="00802E99" w:rsidRPr="002B7D83" w:rsidRDefault="00802E99" w:rsidP="004046F0">
            <w:pPr>
              <w:jc w:val="right"/>
              <w:rPr>
                <w:rFonts w:ascii="Arial" w:hAnsi="Arial" w:cs="Arial"/>
                <w:color w:val="000000"/>
                <w:lang w:eastAsia="en-AU"/>
              </w:rPr>
            </w:pPr>
            <w:r w:rsidRPr="002B7D83">
              <w:rPr>
                <w:rFonts w:ascii="Arial" w:hAnsi="Arial" w:cs="Arial"/>
                <w:color w:val="000000"/>
              </w:rPr>
              <w:t>1,410</w:t>
            </w:r>
          </w:p>
        </w:tc>
        <w:tc>
          <w:tcPr>
            <w:tcW w:w="1904" w:type="dxa"/>
            <w:tcBorders>
              <w:top w:val="nil"/>
              <w:left w:val="nil"/>
              <w:bottom w:val="single" w:sz="4" w:space="0" w:color="auto"/>
              <w:right w:val="single" w:sz="4" w:space="0" w:color="auto"/>
            </w:tcBorders>
            <w:shd w:val="clear" w:color="auto" w:fill="auto"/>
            <w:noWrap/>
            <w:vAlign w:val="bottom"/>
            <w:hideMark/>
          </w:tcPr>
          <w:p w14:paraId="02ACA5FD" w14:textId="77777777" w:rsidR="00802E99" w:rsidRPr="002B7D83" w:rsidRDefault="00802E99" w:rsidP="004046F0">
            <w:pPr>
              <w:jc w:val="right"/>
              <w:rPr>
                <w:rFonts w:ascii="Arial" w:hAnsi="Arial" w:cs="Arial"/>
                <w:color w:val="000000"/>
                <w:lang w:eastAsia="en-AU"/>
              </w:rPr>
            </w:pPr>
            <w:r w:rsidRPr="002B7D83">
              <w:rPr>
                <w:rFonts w:ascii="Arial" w:hAnsi="Arial" w:cs="Arial"/>
                <w:color w:val="000000"/>
              </w:rPr>
              <w:t>$37.3m</w:t>
            </w:r>
          </w:p>
        </w:tc>
        <w:tc>
          <w:tcPr>
            <w:tcW w:w="1104" w:type="dxa"/>
            <w:tcBorders>
              <w:top w:val="nil"/>
              <w:left w:val="nil"/>
              <w:bottom w:val="single" w:sz="4" w:space="0" w:color="auto"/>
              <w:right w:val="single" w:sz="4" w:space="0" w:color="auto"/>
            </w:tcBorders>
            <w:shd w:val="clear" w:color="auto" w:fill="auto"/>
            <w:noWrap/>
            <w:vAlign w:val="bottom"/>
            <w:hideMark/>
          </w:tcPr>
          <w:p w14:paraId="34688CD0" w14:textId="77777777" w:rsidR="00802E99" w:rsidRPr="002B7D83" w:rsidRDefault="00802E99" w:rsidP="004046F0">
            <w:pPr>
              <w:jc w:val="right"/>
              <w:rPr>
                <w:rFonts w:ascii="Arial" w:hAnsi="Arial" w:cs="Arial"/>
                <w:color w:val="000000"/>
                <w:lang w:eastAsia="en-AU"/>
              </w:rPr>
            </w:pPr>
            <w:r w:rsidRPr="002B7D83">
              <w:rPr>
                <w:rFonts w:ascii="Arial" w:hAnsi="Arial" w:cs="Arial"/>
                <w:color w:val="000000"/>
              </w:rPr>
              <w:t>24.1</w:t>
            </w:r>
          </w:p>
        </w:tc>
        <w:tc>
          <w:tcPr>
            <w:tcW w:w="1217" w:type="dxa"/>
            <w:tcBorders>
              <w:top w:val="nil"/>
              <w:left w:val="nil"/>
              <w:bottom w:val="single" w:sz="4" w:space="0" w:color="auto"/>
              <w:right w:val="single" w:sz="4" w:space="0" w:color="auto"/>
            </w:tcBorders>
            <w:shd w:val="clear" w:color="auto" w:fill="auto"/>
            <w:noWrap/>
            <w:vAlign w:val="bottom"/>
            <w:hideMark/>
          </w:tcPr>
          <w:p w14:paraId="29EEE05B" w14:textId="77777777" w:rsidR="00802E99" w:rsidRPr="002B7D83" w:rsidRDefault="00802E99" w:rsidP="004046F0">
            <w:pPr>
              <w:jc w:val="right"/>
              <w:rPr>
                <w:rFonts w:ascii="Arial" w:hAnsi="Arial" w:cs="Arial"/>
                <w:color w:val="000000"/>
                <w:lang w:eastAsia="en-AU"/>
              </w:rPr>
            </w:pPr>
            <w:r w:rsidRPr="002B7D83">
              <w:rPr>
                <w:rFonts w:ascii="Arial" w:hAnsi="Arial" w:cs="Arial"/>
                <w:color w:val="000000"/>
              </w:rPr>
              <w:t>18.6</w:t>
            </w:r>
          </w:p>
        </w:tc>
      </w:tr>
      <w:tr w:rsidR="00802E99" w:rsidRPr="002B7D83" w14:paraId="339E6E80" w14:textId="77777777" w:rsidTr="004046F0">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14:paraId="493E3F93" w14:textId="77777777" w:rsidR="00802E99" w:rsidRPr="002B7D83" w:rsidRDefault="00802E99" w:rsidP="004046F0">
            <w:pPr>
              <w:rPr>
                <w:rFonts w:ascii="Arial" w:hAnsi="Arial" w:cs="Arial"/>
                <w:color w:val="000000"/>
              </w:rPr>
            </w:pPr>
            <w:r w:rsidRPr="002B7D83">
              <w:rPr>
                <w:rFonts w:ascii="Arial" w:hAnsi="Arial" w:cs="Arial"/>
                <w:color w:val="000000"/>
              </w:rPr>
              <w:t>Body Stress</w:t>
            </w:r>
          </w:p>
        </w:tc>
        <w:tc>
          <w:tcPr>
            <w:tcW w:w="1341" w:type="dxa"/>
            <w:tcBorders>
              <w:top w:val="nil"/>
              <w:left w:val="nil"/>
              <w:bottom w:val="single" w:sz="4" w:space="0" w:color="auto"/>
              <w:right w:val="single" w:sz="4" w:space="0" w:color="auto"/>
            </w:tcBorders>
            <w:shd w:val="clear" w:color="auto" w:fill="auto"/>
            <w:noWrap/>
            <w:vAlign w:val="bottom"/>
            <w:hideMark/>
          </w:tcPr>
          <w:p w14:paraId="7419B434" w14:textId="77777777" w:rsidR="00802E99" w:rsidRPr="002B7D83" w:rsidRDefault="00802E99" w:rsidP="004046F0">
            <w:pPr>
              <w:jc w:val="right"/>
              <w:rPr>
                <w:rFonts w:ascii="Arial" w:hAnsi="Arial" w:cs="Arial"/>
                <w:color w:val="000000"/>
              </w:rPr>
            </w:pPr>
            <w:r w:rsidRPr="002B7D83">
              <w:rPr>
                <w:rFonts w:ascii="Arial" w:hAnsi="Arial" w:cs="Arial"/>
                <w:color w:val="000000"/>
              </w:rPr>
              <w:t>1,905</w:t>
            </w:r>
          </w:p>
        </w:tc>
        <w:tc>
          <w:tcPr>
            <w:tcW w:w="1904" w:type="dxa"/>
            <w:tcBorders>
              <w:top w:val="nil"/>
              <w:left w:val="nil"/>
              <w:bottom w:val="single" w:sz="4" w:space="0" w:color="auto"/>
              <w:right w:val="single" w:sz="4" w:space="0" w:color="auto"/>
            </w:tcBorders>
            <w:shd w:val="clear" w:color="auto" w:fill="auto"/>
            <w:noWrap/>
            <w:vAlign w:val="bottom"/>
            <w:hideMark/>
          </w:tcPr>
          <w:p w14:paraId="19232BE0" w14:textId="77777777" w:rsidR="00802E99" w:rsidRPr="002B7D83" w:rsidRDefault="00802E99" w:rsidP="004046F0">
            <w:pPr>
              <w:jc w:val="right"/>
              <w:rPr>
                <w:rFonts w:ascii="Arial" w:hAnsi="Arial" w:cs="Arial"/>
                <w:color w:val="000000"/>
              </w:rPr>
            </w:pPr>
            <w:r w:rsidRPr="002B7D83">
              <w:rPr>
                <w:rFonts w:ascii="Arial" w:hAnsi="Arial" w:cs="Arial"/>
                <w:color w:val="000000"/>
              </w:rPr>
              <w:t>$74.2m</w:t>
            </w:r>
          </w:p>
        </w:tc>
        <w:tc>
          <w:tcPr>
            <w:tcW w:w="1104" w:type="dxa"/>
            <w:tcBorders>
              <w:top w:val="nil"/>
              <w:left w:val="nil"/>
              <w:bottom w:val="single" w:sz="4" w:space="0" w:color="auto"/>
              <w:right w:val="single" w:sz="4" w:space="0" w:color="auto"/>
            </w:tcBorders>
            <w:shd w:val="clear" w:color="auto" w:fill="auto"/>
            <w:noWrap/>
            <w:vAlign w:val="bottom"/>
            <w:hideMark/>
          </w:tcPr>
          <w:p w14:paraId="7556E2F3" w14:textId="77777777" w:rsidR="00802E99" w:rsidRPr="002B7D83" w:rsidRDefault="00802E99" w:rsidP="004046F0">
            <w:pPr>
              <w:jc w:val="right"/>
              <w:rPr>
                <w:rFonts w:ascii="Arial" w:hAnsi="Arial" w:cs="Arial"/>
                <w:color w:val="000000"/>
              </w:rPr>
            </w:pPr>
            <w:r w:rsidRPr="002B7D83">
              <w:rPr>
                <w:rFonts w:ascii="Arial" w:hAnsi="Arial" w:cs="Arial"/>
                <w:color w:val="000000"/>
              </w:rPr>
              <w:t>32.6</w:t>
            </w:r>
          </w:p>
        </w:tc>
        <w:tc>
          <w:tcPr>
            <w:tcW w:w="1217" w:type="dxa"/>
            <w:tcBorders>
              <w:top w:val="nil"/>
              <w:left w:val="nil"/>
              <w:bottom w:val="single" w:sz="4" w:space="0" w:color="auto"/>
              <w:right w:val="single" w:sz="4" w:space="0" w:color="auto"/>
            </w:tcBorders>
            <w:shd w:val="clear" w:color="auto" w:fill="auto"/>
            <w:noWrap/>
            <w:vAlign w:val="bottom"/>
            <w:hideMark/>
          </w:tcPr>
          <w:p w14:paraId="214D756C" w14:textId="77777777" w:rsidR="00802E99" w:rsidRPr="002B7D83" w:rsidRDefault="00802E99" w:rsidP="004046F0">
            <w:pPr>
              <w:jc w:val="right"/>
              <w:rPr>
                <w:rFonts w:ascii="Arial" w:hAnsi="Arial" w:cs="Arial"/>
                <w:color w:val="000000"/>
              </w:rPr>
            </w:pPr>
            <w:r w:rsidRPr="002B7D83">
              <w:rPr>
                <w:rFonts w:ascii="Arial" w:hAnsi="Arial" w:cs="Arial"/>
                <w:color w:val="000000"/>
              </w:rPr>
              <w:t>37</w:t>
            </w:r>
          </w:p>
        </w:tc>
      </w:tr>
      <w:tr w:rsidR="00802E99" w:rsidRPr="002B7D83" w14:paraId="7888BB42" w14:textId="77777777" w:rsidTr="004046F0">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14:paraId="6001FC2A" w14:textId="77777777" w:rsidR="00802E99" w:rsidRPr="002B7D83" w:rsidRDefault="00802E99" w:rsidP="004046F0">
            <w:pPr>
              <w:rPr>
                <w:rFonts w:ascii="Arial" w:hAnsi="Arial" w:cs="Arial"/>
                <w:color w:val="000000"/>
              </w:rPr>
            </w:pPr>
            <w:r w:rsidRPr="002B7D83">
              <w:rPr>
                <w:rFonts w:ascii="Arial" w:hAnsi="Arial" w:cs="Arial"/>
                <w:color w:val="000000"/>
              </w:rPr>
              <w:t>Chemicals and Substances</w:t>
            </w:r>
          </w:p>
        </w:tc>
        <w:tc>
          <w:tcPr>
            <w:tcW w:w="1341" w:type="dxa"/>
            <w:tcBorders>
              <w:top w:val="nil"/>
              <w:left w:val="nil"/>
              <w:bottom w:val="single" w:sz="4" w:space="0" w:color="auto"/>
              <w:right w:val="single" w:sz="4" w:space="0" w:color="auto"/>
            </w:tcBorders>
            <w:shd w:val="clear" w:color="auto" w:fill="auto"/>
            <w:noWrap/>
            <w:vAlign w:val="bottom"/>
            <w:hideMark/>
          </w:tcPr>
          <w:p w14:paraId="4733C507" w14:textId="77777777" w:rsidR="00802E99" w:rsidRPr="002B7D83" w:rsidRDefault="00802E99" w:rsidP="004046F0">
            <w:pPr>
              <w:jc w:val="right"/>
              <w:rPr>
                <w:rFonts w:ascii="Arial" w:hAnsi="Arial" w:cs="Arial"/>
                <w:color w:val="000000"/>
              </w:rPr>
            </w:pPr>
            <w:r w:rsidRPr="002B7D83">
              <w:rPr>
                <w:rFonts w:ascii="Arial" w:hAnsi="Arial" w:cs="Arial"/>
                <w:color w:val="000000"/>
              </w:rPr>
              <w:t>90</w:t>
            </w:r>
          </w:p>
        </w:tc>
        <w:tc>
          <w:tcPr>
            <w:tcW w:w="1904" w:type="dxa"/>
            <w:tcBorders>
              <w:top w:val="nil"/>
              <w:left w:val="nil"/>
              <w:bottom w:val="single" w:sz="4" w:space="0" w:color="auto"/>
              <w:right w:val="single" w:sz="4" w:space="0" w:color="auto"/>
            </w:tcBorders>
            <w:shd w:val="clear" w:color="auto" w:fill="auto"/>
            <w:noWrap/>
            <w:vAlign w:val="bottom"/>
            <w:hideMark/>
          </w:tcPr>
          <w:p w14:paraId="281A7B5B" w14:textId="77777777" w:rsidR="00802E99" w:rsidRPr="002B7D83" w:rsidRDefault="00802E99" w:rsidP="004046F0">
            <w:pPr>
              <w:jc w:val="right"/>
              <w:rPr>
                <w:rFonts w:ascii="Arial" w:hAnsi="Arial" w:cs="Arial"/>
                <w:color w:val="000000"/>
              </w:rPr>
            </w:pPr>
            <w:r w:rsidRPr="002B7D83">
              <w:rPr>
                <w:rFonts w:ascii="Arial" w:hAnsi="Arial" w:cs="Arial"/>
                <w:color w:val="000000"/>
              </w:rPr>
              <w:t>$0.8m</w:t>
            </w:r>
          </w:p>
        </w:tc>
        <w:tc>
          <w:tcPr>
            <w:tcW w:w="1104" w:type="dxa"/>
            <w:tcBorders>
              <w:top w:val="nil"/>
              <w:left w:val="nil"/>
              <w:bottom w:val="single" w:sz="4" w:space="0" w:color="auto"/>
              <w:right w:val="single" w:sz="4" w:space="0" w:color="auto"/>
            </w:tcBorders>
            <w:shd w:val="clear" w:color="auto" w:fill="auto"/>
            <w:noWrap/>
            <w:vAlign w:val="bottom"/>
            <w:hideMark/>
          </w:tcPr>
          <w:p w14:paraId="1AFB156C" w14:textId="77777777" w:rsidR="00802E99" w:rsidRPr="002B7D83" w:rsidRDefault="00802E99" w:rsidP="004046F0">
            <w:pPr>
              <w:jc w:val="right"/>
              <w:rPr>
                <w:rFonts w:ascii="Arial" w:hAnsi="Arial" w:cs="Arial"/>
                <w:color w:val="000000"/>
              </w:rPr>
            </w:pPr>
            <w:r w:rsidRPr="002B7D83">
              <w:rPr>
                <w:rFonts w:ascii="Arial" w:hAnsi="Arial" w:cs="Arial"/>
                <w:color w:val="000000"/>
              </w:rPr>
              <w:t>1.5</w:t>
            </w:r>
          </w:p>
        </w:tc>
        <w:tc>
          <w:tcPr>
            <w:tcW w:w="1217" w:type="dxa"/>
            <w:tcBorders>
              <w:top w:val="nil"/>
              <w:left w:val="nil"/>
              <w:bottom w:val="single" w:sz="4" w:space="0" w:color="auto"/>
              <w:right w:val="single" w:sz="4" w:space="0" w:color="auto"/>
            </w:tcBorders>
            <w:shd w:val="clear" w:color="auto" w:fill="auto"/>
            <w:noWrap/>
            <w:vAlign w:val="bottom"/>
            <w:hideMark/>
          </w:tcPr>
          <w:p w14:paraId="2D718F07" w14:textId="77777777" w:rsidR="00802E99" w:rsidRPr="002B7D83" w:rsidRDefault="00802E99" w:rsidP="004046F0">
            <w:pPr>
              <w:jc w:val="right"/>
              <w:rPr>
                <w:rFonts w:ascii="Arial" w:hAnsi="Arial" w:cs="Arial"/>
                <w:color w:val="000000"/>
              </w:rPr>
            </w:pPr>
            <w:r w:rsidRPr="002B7D83">
              <w:rPr>
                <w:rFonts w:ascii="Arial" w:hAnsi="Arial" w:cs="Arial"/>
                <w:color w:val="000000"/>
              </w:rPr>
              <w:t>0.4</w:t>
            </w:r>
          </w:p>
        </w:tc>
      </w:tr>
      <w:tr w:rsidR="00802E99" w:rsidRPr="002B7D83" w14:paraId="3FB0F881" w14:textId="77777777" w:rsidTr="004046F0">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14:paraId="3084CA43" w14:textId="77777777" w:rsidR="00802E99" w:rsidRPr="002B7D83" w:rsidRDefault="00802E99" w:rsidP="004046F0">
            <w:pPr>
              <w:rPr>
                <w:rFonts w:ascii="Arial" w:hAnsi="Arial" w:cs="Arial"/>
                <w:color w:val="000000"/>
              </w:rPr>
            </w:pPr>
            <w:r w:rsidRPr="002B7D83">
              <w:rPr>
                <w:rFonts w:ascii="Arial" w:hAnsi="Arial" w:cs="Arial"/>
                <w:color w:val="000000"/>
              </w:rPr>
              <w:t>Falls, Slips and Trips</w:t>
            </w:r>
          </w:p>
        </w:tc>
        <w:tc>
          <w:tcPr>
            <w:tcW w:w="1341" w:type="dxa"/>
            <w:tcBorders>
              <w:top w:val="nil"/>
              <w:left w:val="nil"/>
              <w:bottom w:val="single" w:sz="4" w:space="0" w:color="auto"/>
              <w:right w:val="single" w:sz="4" w:space="0" w:color="auto"/>
            </w:tcBorders>
            <w:shd w:val="clear" w:color="auto" w:fill="auto"/>
            <w:noWrap/>
            <w:vAlign w:val="bottom"/>
            <w:hideMark/>
          </w:tcPr>
          <w:p w14:paraId="71504CC5" w14:textId="77777777" w:rsidR="00802E99" w:rsidRPr="002B7D83" w:rsidRDefault="00802E99" w:rsidP="004046F0">
            <w:pPr>
              <w:jc w:val="right"/>
              <w:rPr>
                <w:rFonts w:ascii="Arial" w:hAnsi="Arial" w:cs="Arial"/>
                <w:color w:val="000000"/>
              </w:rPr>
            </w:pPr>
            <w:r w:rsidRPr="002B7D83">
              <w:rPr>
                <w:rFonts w:ascii="Arial" w:hAnsi="Arial" w:cs="Arial"/>
                <w:color w:val="000000"/>
              </w:rPr>
              <w:t>1,331</w:t>
            </w:r>
          </w:p>
        </w:tc>
        <w:tc>
          <w:tcPr>
            <w:tcW w:w="1904" w:type="dxa"/>
            <w:tcBorders>
              <w:top w:val="nil"/>
              <w:left w:val="nil"/>
              <w:bottom w:val="single" w:sz="4" w:space="0" w:color="auto"/>
              <w:right w:val="single" w:sz="4" w:space="0" w:color="auto"/>
            </w:tcBorders>
            <w:shd w:val="clear" w:color="auto" w:fill="auto"/>
            <w:noWrap/>
            <w:vAlign w:val="bottom"/>
            <w:hideMark/>
          </w:tcPr>
          <w:p w14:paraId="309E1901" w14:textId="77777777" w:rsidR="00802E99" w:rsidRPr="002B7D83" w:rsidRDefault="00802E99" w:rsidP="004046F0">
            <w:pPr>
              <w:jc w:val="right"/>
              <w:rPr>
                <w:rFonts w:ascii="Arial" w:hAnsi="Arial" w:cs="Arial"/>
                <w:color w:val="000000"/>
              </w:rPr>
            </w:pPr>
            <w:r w:rsidRPr="002B7D83">
              <w:rPr>
                <w:rFonts w:ascii="Arial" w:hAnsi="Arial" w:cs="Arial"/>
                <w:color w:val="000000"/>
              </w:rPr>
              <w:t>$39.1m</w:t>
            </w:r>
          </w:p>
        </w:tc>
        <w:tc>
          <w:tcPr>
            <w:tcW w:w="1104" w:type="dxa"/>
            <w:tcBorders>
              <w:top w:val="nil"/>
              <w:left w:val="nil"/>
              <w:bottom w:val="single" w:sz="4" w:space="0" w:color="auto"/>
              <w:right w:val="single" w:sz="4" w:space="0" w:color="auto"/>
            </w:tcBorders>
            <w:shd w:val="clear" w:color="auto" w:fill="auto"/>
            <w:noWrap/>
            <w:vAlign w:val="bottom"/>
            <w:hideMark/>
          </w:tcPr>
          <w:p w14:paraId="3C320385" w14:textId="77777777" w:rsidR="00802E99" w:rsidRPr="002B7D83" w:rsidRDefault="00802E99" w:rsidP="004046F0">
            <w:pPr>
              <w:jc w:val="right"/>
              <w:rPr>
                <w:rFonts w:ascii="Arial" w:hAnsi="Arial" w:cs="Arial"/>
                <w:color w:val="000000"/>
              </w:rPr>
            </w:pPr>
            <w:r w:rsidRPr="002B7D83">
              <w:rPr>
                <w:rFonts w:ascii="Arial" w:hAnsi="Arial" w:cs="Arial"/>
                <w:color w:val="000000"/>
              </w:rPr>
              <w:t>22.8</w:t>
            </w:r>
          </w:p>
        </w:tc>
        <w:tc>
          <w:tcPr>
            <w:tcW w:w="1217" w:type="dxa"/>
            <w:tcBorders>
              <w:top w:val="nil"/>
              <w:left w:val="nil"/>
              <w:bottom w:val="single" w:sz="4" w:space="0" w:color="auto"/>
              <w:right w:val="single" w:sz="4" w:space="0" w:color="auto"/>
            </w:tcBorders>
            <w:shd w:val="clear" w:color="auto" w:fill="auto"/>
            <w:noWrap/>
            <w:vAlign w:val="bottom"/>
            <w:hideMark/>
          </w:tcPr>
          <w:p w14:paraId="65BDDC15" w14:textId="77777777" w:rsidR="00802E99" w:rsidRPr="002B7D83" w:rsidRDefault="00802E99" w:rsidP="004046F0">
            <w:pPr>
              <w:jc w:val="right"/>
              <w:rPr>
                <w:rFonts w:ascii="Arial" w:hAnsi="Arial" w:cs="Arial"/>
                <w:color w:val="000000"/>
              </w:rPr>
            </w:pPr>
            <w:r w:rsidRPr="002B7D83">
              <w:rPr>
                <w:rFonts w:ascii="Arial" w:hAnsi="Arial" w:cs="Arial"/>
                <w:color w:val="000000"/>
              </w:rPr>
              <w:t>19.5</w:t>
            </w:r>
          </w:p>
        </w:tc>
      </w:tr>
      <w:tr w:rsidR="00802E99" w:rsidRPr="002B7D83" w14:paraId="6D958829" w14:textId="77777777" w:rsidTr="004046F0">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14:paraId="033A55C4" w14:textId="77777777" w:rsidR="00802E99" w:rsidRPr="002B7D83" w:rsidRDefault="00802E99" w:rsidP="004046F0">
            <w:pPr>
              <w:rPr>
                <w:rFonts w:ascii="Arial" w:hAnsi="Arial" w:cs="Arial"/>
                <w:color w:val="000000"/>
              </w:rPr>
            </w:pPr>
            <w:r w:rsidRPr="002B7D83">
              <w:rPr>
                <w:rFonts w:ascii="Arial" w:hAnsi="Arial" w:cs="Arial"/>
                <w:color w:val="000000"/>
              </w:rPr>
              <w:t>Sensory Pressures</w:t>
            </w:r>
          </w:p>
        </w:tc>
        <w:tc>
          <w:tcPr>
            <w:tcW w:w="1341" w:type="dxa"/>
            <w:tcBorders>
              <w:top w:val="nil"/>
              <w:left w:val="nil"/>
              <w:bottom w:val="single" w:sz="4" w:space="0" w:color="auto"/>
              <w:right w:val="single" w:sz="4" w:space="0" w:color="auto"/>
            </w:tcBorders>
            <w:shd w:val="clear" w:color="auto" w:fill="auto"/>
            <w:noWrap/>
            <w:vAlign w:val="bottom"/>
            <w:hideMark/>
          </w:tcPr>
          <w:p w14:paraId="6FF8FF11" w14:textId="77777777" w:rsidR="00802E99" w:rsidRPr="002B7D83" w:rsidRDefault="00802E99" w:rsidP="004046F0">
            <w:pPr>
              <w:jc w:val="right"/>
              <w:rPr>
                <w:rFonts w:ascii="Arial" w:hAnsi="Arial" w:cs="Arial"/>
                <w:color w:val="000000"/>
              </w:rPr>
            </w:pPr>
            <w:r w:rsidRPr="002B7D83">
              <w:rPr>
                <w:rFonts w:ascii="Arial" w:hAnsi="Arial" w:cs="Arial"/>
                <w:color w:val="000000"/>
              </w:rPr>
              <w:t>88</w:t>
            </w:r>
          </w:p>
        </w:tc>
        <w:tc>
          <w:tcPr>
            <w:tcW w:w="1904" w:type="dxa"/>
            <w:tcBorders>
              <w:top w:val="nil"/>
              <w:left w:val="nil"/>
              <w:bottom w:val="single" w:sz="4" w:space="0" w:color="auto"/>
              <w:right w:val="single" w:sz="4" w:space="0" w:color="auto"/>
            </w:tcBorders>
            <w:shd w:val="clear" w:color="auto" w:fill="auto"/>
            <w:noWrap/>
            <w:vAlign w:val="bottom"/>
            <w:hideMark/>
          </w:tcPr>
          <w:p w14:paraId="3E5E183A" w14:textId="77777777" w:rsidR="00802E99" w:rsidRPr="002B7D83" w:rsidRDefault="00802E99" w:rsidP="004046F0">
            <w:pPr>
              <w:jc w:val="right"/>
              <w:rPr>
                <w:rFonts w:ascii="Arial" w:hAnsi="Arial" w:cs="Arial"/>
                <w:color w:val="000000"/>
              </w:rPr>
            </w:pPr>
            <w:r w:rsidRPr="002B7D83">
              <w:rPr>
                <w:rFonts w:ascii="Arial" w:hAnsi="Arial" w:cs="Arial"/>
                <w:color w:val="000000"/>
              </w:rPr>
              <w:t>$1.5m</w:t>
            </w:r>
          </w:p>
        </w:tc>
        <w:tc>
          <w:tcPr>
            <w:tcW w:w="1104" w:type="dxa"/>
            <w:tcBorders>
              <w:top w:val="nil"/>
              <w:left w:val="nil"/>
              <w:bottom w:val="single" w:sz="4" w:space="0" w:color="auto"/>
              <w:right w:val="single" w:sz="4" w:space="0" w:color="auto"/>
            </w:tcBorders>
            <w:shd w:val="clear" w:color="auto" w:fill="auto"/>
            <w:noWrap/>
            <w:vAlign w:val="bottom"/>
            <w:hideMark/>
          </w:tcPr>
          <w:p w14:paraId="3AD44CF3" w14:textId="77777777" w:rsidR="00802E99" w:rsidRPr="002B7D83" w:rsidRDefault="00802E99" w:rsidP="004046F0">
            <w:pPr>
              <w:jc w:val="right"/>
              <w:rPr>
                <w:rFonts w:ascii="Arial" w:hAnsi="Arial" w:cs="Arial"/>
                <w:color w:val="000000"/>
              </w:rPr>
            </w:pPr>
            <w:r w:rsidRPr="002B7D83">
              <w:rPr>
                <w:rFonts w:ascii="Arial" w:hAnsi="Arial" w:cs="Arial"/>
                <w:color w:val="000000"/>
              </w:rPr>
              <w:t>1.6</w:t>
            </w:r>
          </w:p>
        </w:tc>
        <w:tc>
          <w:tcPr>
            <w:tcW w:w="1217" w:type="dxa"/>
            <w:tcBorders>
              <w:top w:val="nil"/>
              <w:left w:val="nil"/>
              <w:bottom w:val="single" w:sz="4" w:space="0" w:color="auto"/>
              <w:right w:val="single" w:sz="4" w:space="0" w:color="auto"/>
            </w:tcBorders>
            <w:shd w:val="clear" w:color="auto" w:fill="auto"/>
            <w:noWrap/>
            <w:vAlign w:val="bottom"/>
            <w:hideMark/>
          </w:tcPr>
          <w:p w14:paraId="7D98E4FC" w14:textId="77777777" w:rsidR="00802E99" w:rsidRPr="002B7D83" w:rsidRDefault="00802E99" w:rsidP="004046F0">
            <w:pPr>
              <w:jc w:val="right"/>
              <w:rPr>
                <w:rFonts w:ascii="Arial" w:hAnsi="Arial" w:cs="Arial"/>
                <w:color w:val="000000"/>
              </w:rPr>
            </w:pPr>
            <w:r w:rsidRPr="002B7D83">
              <w:rPr>
                <w:rFonts w:ascii="Arial" w:hAnsi="Arial" w:cs="Arial"/>
                <w:color w:val="000000"/>
              </w:rPr>
              <w:t>0.8</w:t>
            </w:r>
          </w:p>
        </w:tc>
      </w:tr>
      <w:tr w:rsidR="00802E99" w:rsidRPr="002B7D83" w14:paraId="0FA5D426" w14:textId="77777777" w:rsidTr="004046F0">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14:paraId="1C958D66" w14:textId="77777777" w:rsidR="00802E99" w:rsidRPr="002B7D83" w:rsidRDefault="00802E99" w:rsidP="004046F0">
            <w:pPr>
              <w:rPr>
                <w:rFonts w:ascii="Arial" w:hAnsi="Arial" w:cs="Arial"/>
                <w:color w:val="000000"/>
              </w:rPr>
            </w:pPr>
            <w:r w:rsidRPr="002B7D83">
              <w:rPr>
                <w:rFonts w:ascii="Arial" w:hAnsi="Arial" w:cs="Arial"/>
                <w:color w:val="000000"/>
              </w:rPr>
              <w:t>Impact with Stationary Objects</w:t>
            </w:r>
          </w:p>
        </w:tc>
        <w:tc>
          <w:tcPr>
            <w:tcW w:w="1341" w:type="dxa"/>
            <w:tcBorders>
              <w:top w:val="nil"/>
              <w:left w:val="nil"/>
              <w:bottom w:val="single" w:sz="4" w:space="0" w:color="auto"/>
              <w:right w:val="single" w:sz="4" w:space="0" w:color="auto"/>
            </w:tcBorders>
            <w:shd w:val="clear" w:color="auto" w:fill="auto"/>
            <w:noWrap/>
            <w:vAlign w:val="bottom"/>
            <w:hideMark/>
          </w:tcPr>
          <w:p w14:paraId="305E4950" w14:textId="77777777" w:rsidR="00802E99" w:rsidRPr="002B7D83" w:rsidRDefault="00802E99" w:rsidP="004046F0">
            <w:pPr>
              <w:jc w:val="right"/>
              <w:rPr>
                <w:rFonts w:ascii="Arial" w:hAnsi="Arial" w:cs="Arial"/>
                <w:color w:val="000000"/>
              </w:rPr>
            </w:pPr>
            <w:r w:rsidRPr="002B7D83">
              <w:rPr>
                <w:rFonts w:ascii="Arial" w:hAnsi="Arial" w:cs="Arial"/>
                <w:color w:val="000000"/>
              </w:rPr>
              <w:t>335</w:t>
            </w:r>
          </w:p>
        </w:tc>
        <w:tc>
          <w:tcPr>
            <w:tcW w:w="1904" w:type="dxa"/>
            <w:tcBorders>
              <w:top w:val="nil"/>
              <w:left w:val="nil"/>
              <w:bottom w:val="single" w:sz="4" w:space="0" w:color="auto"/>
              <w:right w:val="single" w:sz="4" w:space="0" w:color="auto"/>
            </w:tcBorders>
            <w:shd w:val="clear" w:color="auto" w:fill="auto"/>
            <w:noWrap/>
            <w:vAlign w:val="bottom"/>
            <w:hideMark/>
          </w:tcPr>
          <w:p w14:paraId="2C2F51F0" w14:textId="77777777" w:rsidR="00802E99" w:rsidRPr="002B7D83" w:rsidRDefault="00802E99" w:rsidP="004046F0">
            <w:pPr>
              <w:jc w:val="right"/>
              <w:rPr>
                <w:rFonts w:ascii="Arial" w:hAnsi="Arial" w:cs="Arial"/>
                <w:color w:val="000000"/>
              </w:rPr>
            </w:pPr>
            <w:r w:rsidRPr="002B7D83">
              <w:rPr>
                <w:rFonts w:ascii="Arial" w:hAnsi="Arial" w:cs="Arial"/>
                <w:color w:val="000000"/>
              </w:rPr>
              <w:t>$4.5m</w:t>
            </w:r>
          </w:p>
        </w:tc>
        <w:tc>
          <w:tcPr>
            <w:tcW w:w="1104" w:type="dxa"/>
            <w:tcBorders>
              <w:top w:val="nil"/>
              <w:left w:val="nil"/>
              <w:bottom w:val="single" w:sz="4" w:space="0" w:color="auto"/>
              <w:right w:val="single" w:sz="4" w:space="0" w:color="auto"/>
            </w:tcBorders>
            <w:shd w:val="clear" w:color="auto" w:fill="auto"/>
            <w:noWrap/>
            <w:vAlign w:val="bottom"/>
            <w:hideMark/>
          </w:tcPr>
          <w:p w14:paraId="2E672FCB" w14:textId="77777777" w:rsidR="00802E99" w:rsidRPr="002B7D83" w:rsidRDefault="00802E99" w:rsidP="004046F0">
            <w:pPr>
              <w:jc w:val="right"/>
              <w:rPr>
                <w:rFonts w:ascii="Arial" w:hAnsi="Arial" w:cs="Arial"/>
                <w:color w:val="000000"/>
              </w:rPr>
            </w:pPr>
            <w:r w:rsidRPr="002B7D83">
              <w:rPr>
                <w:rFonts w:ascii="Arial" w:hAnsi="Arial" w:cs="Arial"/>
                <w:color w:val="000000"/>
              </w:rPr>
              <w:t>5.7</w:t>
            </w:r>
          </w:p>
        </w:tc>
        <w:tc>
          <w:tcPr>
            <w:tcW w:w="1217" w:type="dxa"/>
            <w:tcBorders>
              <w:top w:val="nil"/>
              <w:left w:val="nil"/>
              <w:bottom w:val="single" w:sz="4" w:space="0" w:color="auto"/>
              <w:right w:val="single" w:sz="4" w:space="0" w:color="auto"/>
            </w:tcBorders>
            <w:shd w:val="clear" w:color="auto" w:fill="auto"/>
            <w:noWrap/>
            <w:vAlign w:val="bottom"/>
            <w:hideMark/>
          </w:tcPr>
          <w:p w14:paraId="47A13CC9" w14:textId="77777777" w:rsidR="00802E99" w:rsidRPr="002B7D83" w:rsidRDefault="00802E99" w:rsidP="004046F0">
            <w:pPr>
              <w:jc w:val="right"/>
              <w:rPr>
                <w:rFonts w:ascii="Arial" w:hAnsi="Arial" w:cs="Arial"/>
                <w:color w:val="000000"/>
              </w:rPr>
            </w:pPr>
            <w:r w:rsidRPr="002B7D83">
              <w:rPr>
                <w:rFonts w:ascii="Arial" w:hAnsi="Arial" w:cs="Arial"/>
                <w:color w:val="000000"/>
              </w:rPr>
              <w:t>2.2</w:t>
            </w:r>
          </w:p>
        </w:tc>
      </w:tr>
      <w:tr w:rsidR="00802E99" w:rsidRPr="002B7D83" w14:paraId="0DCB213E" w14:textId="77777777" w:rsidTr="004046F0">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14:paraId="67C86336" w14:textId="77777777" w:rsidR="00802E99" w:rsidRPr="002B7D83" w:rsidRDefault="00802E99" w:rsidP="004046F0">
            <w:pPr>
              <w:rPr>
                <w:rFonts w:ascii="Arial" w:hAnsi="Arial" w:cs="Arial"/>
                <w:color w:val="000000"/>
              </w:rPr>
            </w:pPr>
            <w:r w:rsidRPr="002B7D83">
              <w:rPr>
                <w:rFonts w:ascii="Arial" w:hAnsi="Arial" w:cs="Arial"/>
                <w:color w:val="000000"/>
              </w:rPr>
              <w:t>Mental Stress</w:t>
            </w:r>
          </w:p>
        </w:tc>
        <w:tc>
          <w:tcPr>
            <w:tcW w:w="1341" w:type="dxa"/>
            <w:tcBorders>
              <w:top w:val="nil"/>
              <w:left w:val="nil"/>
              <w:bottom w:val="single" w:sz="4" w:space="0" w:color="auto"/>
              <w:right w:val="single" w:sz="4" w:space="0" w:color="auto"/>
            </w:tcBorders>
            <w:shd w:val="clear" w:color="auto" w:fill="auto"/>
            <w:noWrap/>
            <w:vAlign w:val="bottom"/>
            <w:hideMark/>
          </w:tcPr>
          <w:p w14:paraId="0D92EB4F" w14:textId="77777777" w:rsidR="00802E99" w:rsidRPr="002B7D83" w:rsidRDefault="00802E99" w:rsidP="004046F0">
            <w:pPr>
              <w:jc w:val="right"/>
              <w:rPr>
                <w:rFonts w:ascii="Arial" w:hAnsi="Arial" w:cs="Arial"/>
                <w:color w:val="000000"/>
              </w:rPr>
            </w:pPr>
            <w:r w:rsidRPr="002B7D83">
              <w:rPr>
                <w:rFonts w:ascii="Arial" w:hAnsi="Arial" w:cs="Arial"/>
                <w:color w:val="000000"/>
              </w:rPr>
              <w:t>505</w:t>
            </w:r>
          </w:p>
        </w:tc>
        <w:tc>
          <w:tcPr>
            <w:tcW w:w="1904" w:type="dxa"/>
            <w:tcBorders>
              <w:top w:val="nil"/>
              <w:left w:val="nil"/>
              <w:bottom w:val="single" w:sz="4" w:space="0" w:color="auto"/>
              <w:right w:val="single" w:sz="4" w:space="0" w:color="auto"/>
            </w:tcBorders>
            <w:shd w:val="clear" w:color="auto" w:fill="auto"/>
            <w:noWrap/>
            <w:vAlign w:val="bottom"/>
            <w:hideMark/>
          </w:tcPr>
          <w:p w14:paraId="5859DD43" w14:textId="77777777" w:rsidR="00802E99" w:rsidRPr="002B7D83" w:rsidRDefault="00802E99" w:rsidP="004046F0">
            <w:pPr>
              <w:jc w:val="right"/>
              <w:rPr>
                <w:rFonts w:ascii="Arial" w:hAnsi="Arial" w:cs="Arial"/>
                <w:color w:val="000000"/>
              </w:rPr>
            </w:pPr>
            <w:r w:rsidRPr="002B7D83">
              <w:rPr>
                <w:rFonts w:ascii="Arial" w:hAnsi="Arial" w:cs="Arial"/>
                <w:color w:val="000000"/>
              </w:rPr>
              <w:t>$38.9m</w:t>
            </w:r>
          </w:p>
        </w:tc>
        <w:tc>
          <w:tcPr>
            <w:tcW w:w="1104" w:type="dxa"/>
            <w:tcBorders>
              <w:top w:val="nil"/>
              <w:left w:val="nil"/>
              <w:bottom w:val="single" w:sz="4" w:space="0" w:color="auto"/>
              <w:right w:val="single" w:sz="4" w:space="0" w:color="auto"/>
            </w:tcBorders>
            <w:shd w:val="clear" w:color="auto" w:fill="auto"/>
            <w:noWrap/>
            <w:vAlign w:val="bottom"/>
            <w:hideMark/>
          </w:tcPr>
          <w:p w14:paraId="0A8A2996" w14:textId="77777777" w:rsidR="00802E99" w:rsidRPr="002B7D83" w:rsidRDefault="00802E99" w:rsidP="004046F0">
            <w:pPr>
              <w:jc w:val="right"/>
              <w:rPr>
                <w:rFonts w:ascii="Arial" w:hAnsi="Arial" w:cs="Arial"/>
                <w:color w:val="000000"/>
              </w:rPr>
            </w:pPr>
            <w:r w:rsidRPr="002B7D83">
              <w:rPr>
                <w:rFonts w:ascii="Arial" w:hAnsi="Arial" w:cs="Arial"/>
                <w:color w:val="000000"/>
              </w:rPr>
              <w:t>8.6</w:t>
            </w:r>
          </w:p>
        </w:tc>
        <w:tc>
          <w:tcPr>
            <w:tcW w:w="1217" w:type="dxa"/>
            <w:tcBorders>
              <w:top w:val="nil"/>
              <w:left w:val="nil"/>
              <w:bottom w:val="single" w:sz="4" w:space="0" w:color="auto"/>
              <w:right w:val="single" w:sz="4" w:space="0" w:color="auto"/>
            </w:tcBorders>
            <w:shd w:val="clear" w:color="auto" w:fill="auto"/>
            <w:noWrap/>
            <w:vAlign w:val="bottom"/>
            <w:hideMark/>
          </w:tcPr>
          <w:p w14:paraId="716A1596" w14:textId="77777777" w:rsidR="00802E99" w:rsidRPr="002B7D83" w:rsidRDefault="00802E99" w:rsidP="004046F0">
            <w:pPr>
              <w:jc w:val="right"/>
              <w:rPr>
                <w:rFonts w:ascii="Arial" w:hAnsi="Arial" w:cs="Arial"/>
                <w:color w:val="000000"/>
              </w:rPr>
            </w:pPr>
            <w:r w:rsidRPr="002B7D83">
              <w:rPr>
                <w:rFonts w:ascii="Arial" w:hAnsi="Arial" w:cs="Arial"/>
                <w:color w:val="000000"/>
              </w:rPr>
              <w:t>19.4</w:t>
            </w:r>
          </w:p>
        </w:tc>
      </w:tr>
      <w:tr w:rsidR="00802E99" w:rsidRPr="002B7D83" w14:paraId="23092AF7" w14:textId="77777777" w:rsidTr="004046F0">
        <w:trPr>
          <w:trHeight w:val="300"/>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14:paraId="44C703D7" w14:textId="77777777" w:rsidR="00802E99" w:rsidRPr="002B7D83" w:rsidRDefault="00802E99" w:rsidP="004046F0">
            <w:pPr>
              <w:rPr>
                <w:rFonts w:ascii="Arial" w:hAnsi="Arial" w:cs="Arial"/>
                <w:color w:val="000000"/>
              </w:rPr>
            </w:pPr>
            <w:r w:rsidRPr="002B7D83">
              <w:rPr>
                <w:rFonts w:ascii="Arial" w:hAnsi="Arial" w:cs="Arial"/>
                <w:color w:val="000000"/>
              </w:rPr>
              <w:t>Other</w:t>
            </w:r>
          </w:p>
        </w:tc>
        <w:tc>
          <w:tcPr>
            <w:tcW w:w="1341" w:type="dxa"/>
            <w:tcBorders>
              <w:top w:val="nil"/>
              <w:left w:val="nil"/>
              <w:bottom w:val="single" w:sz="4" w:space="0" w:color="auto"/>
              <w:right w:val="single" w:sz="4" w:space="0" w:color="auto"/>
            </w:tcBorders>
            <w:shd w:val="clear" w:color="auto" w:fill="auto"/>
            <w:noWrap/>
            <w:vAlign w:val="bottom"/>
            <w:hideMark/>
          </w:tcPr>
          <w:p w14:paraId="21EB316A" w14:textId="77777777" w:rsidR="00802E99" w:rsidRPr="002B7D83" w:rsidRDefault="00802E99" w:rsidP="004046F0">
            <w:pPr>
              <w:jc w:val="right"/>
              <w:rPr>
                <w:rFonts w:ascii="Arial" w:hAnsi="Arial" w:cs="Arial"/>
                <w:color w:val="000000"/>
              </w:rPr>
            </w:pPr>
            <w:r w:rsidRPr="002B7D83">
              <w:rPr>
                <w:rFonts w:ascii="Arial" w:hAnsi="Arial" w:cs="Arial"/>
                <w:color w:val="000000"/>
              </w:rPr>
              <w:t>182</w:t>
            </w:r>
          </w:p>
        </w:tc>
        <w:tc>
          <w:tcPr>
            <w:tcW w:w="1904" w:type="dxa"/>
            <w:tcBorders>
              <w:top w:val="nil"/>
              <w:left w:val="nil"/>
              <w:bottom w:val="single" w:sz="4" w:space="0" w:color="auto"/>
              <w:right w:val="single" w:sz="4" w:space="0" w:color="auto"/>
            </w:tcBorders>
            <w:shd w:val="clear" w:color="auto" w:fill="auto"/>
            <w:noWrap/>
            <w:vAlign w:val="bottom"/>
            <w:hideMark/>
          </w:tcPr>
          <w:p w14:paraId="56D36EF9" w14:textId="77777777" w:rsidR="00802E99" w:rsidRPr="002B7D83" w:rsidRDefault="00802E99" w:rsidP="004046F0">
            <w:pPr>
              <w:jc w:val="right"/>
              <w:rPr>
                <w:rFonts w:ascii="Arial" w:hAnsi="Arial" w:cs="Arial"/>
                <w:color w:val="000000"/>
              </w:rPr>
            </w:pPr>
            <w:r w:rsidRPr="002B7D83">
              <w:rPr>
                <w:rFonts w:ascii="Arial" w:hAnsi="Arial" w:cs="Arial"/>
                <w:color w:val="000000"/>
              </w:rPr>
              <w:t>$4.2m</w:t>
            </w:r>
          </w:p>
        </w:tc>
        <w:tc>
          <w:tcPr>
            <w:tcW w:w="1104" w:type="dxa"/>
            <w:tcBorders>
              <w:top w:val="nil"/>
              <w:left w:val="nil"/>
              <w:bottom w:val="single" w:sz="4" w:space="0" w:color="auto"/>
              <w:right w:val="single" w:sz="4" w:space="0" w:color="auto"/>
            </w:tcBorders>
            <w:shd w:val="clear" w:color="auto" w:fill="auto"/>
            <w:noWrap/>
            <w:vAlign w:val="bottom"/>
            <w:hideMark/>
          </w:tcPr>
          <w:p w14:paraId="08551A88" w14:textId="77777777" w:rsidR="00802E99" w:rsidRPr="002B7D83" w:rsidRDefault="00802E99" w:rsidP="004046F0">
            <w:pPr>
              <w:jc w:val="right"/>
              <w:rPr>
                <w:rFonts w:ascii="Arial" w:hAnsi="Arial" w:cs="Arial"/>
                <w:color w:val="000000"/>
              </w:rPr>
            </w:pPr>
            <w:r w:rsidRPr="002B7D83">
              <w:rPr>
                <w:rFonts w:ascii="Arial" w:hAnsi="Arial" w:cs="Arial"/>
                <w:color w:val="000000"/>
              </w:rPr>
              <w:t>3.1</w:t>
            </w:r>
          </w:p>
        </w:tc>
        <w:tc>
          <w:tcPr>
            <w:tcW w:w="1217" w:type="dxa"/>
            <w:tcBorders>
              <w:top w:val="nil"/>
              <w:left w:val="nil"/>
              <w:bottom w:val="single" w:sz="4" w:space="0" w:color="auto"/>
              <w:right w:val="single" w:sz="4" w:space="0" w:color="auto"/>
            </w:tcBorders>
            <w:shd w:val="clear" w:color="auto" w:fill="auto"/>
            <w:noWrap/>
            <w:vAlign w:val="bottom"/>
            <w:hideMark/>
          </w:tcPr>
          <w:p w14:paraId="43E77F3D" w14:textId="77777777" w:rsidR="00802E99" w:rsidRPr="002B7D83" w:rsidRDefault="00802E99" w:rsidP="004046F0">
            <w:pPr>
              <w:jc w:val="right"/>
              <w:rPr>
                <w:rFonts w:ascii="Arial" w:hAnsi="Arial" w:cs="Arial"/>
                <w:color w:val="000000"/>
              </w:rPr>
            </w:pPr>
            <w:r w:rsidRPr="002B7D83">
              <w:rPr>
                <w:rFonts w:ascii="Arial" w:hAnsi="Arial" w:cs="Arial"/>
                <w:color w:val="000000"/>
              </w:rPr>
              <w:t>2.1</w:t>
            </w:r>
          </w:p>
        </w:tc>
      </w:tr>
      <w:tr w:rsidR="00802E99" w:rsidRPr="00CF644F" w14:paraId="07957FAF" w14:textId="77777777" w:rsidTr="004046F0">
        <w:trPr>
          <w:trHeight w:val="315"/>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14:paraId="31C21D79" w14:textId="77777777" w:rsidR="00802E99" w:rsidRPr="002B7D83" w:rsidRDefault="00802E99" w:rsidP="004046F0">
            <w:pPr>
              <w:rPr>
                <w:rFonts w:ascii="Arial" w:hAnsi="Arial" w:cs="Arial"/>
                <w:b/>
                <w:bCs/>
                <w:color w:val="000000"/>
              </w:rPr>
            </w:pPr>
            <w:r w:rsidRPr="002B7D83">
              <w:rPr>
                <w:rFonts w:ascii="Arial" w:hAnsi="Arial" w:cs="Arial"/>
                <w:b/>
                <w:bCs/>
                <w:color w:val="000000"/>
              </w:rPr>
              <w:t>Grand Total</w:t>
            </w:r>
          </w:p>
        </w:tc>
        <w:tc>
          <w:tcPr>
            <w:tcW w:w="1341" w:type="dxa"/>
            <w:tcBorders>
              <w:top w:val="nil"/>
              <w:left w:val="nil"/>
              <w:bottom w:val="single" w:sz="4" w:space="0" w:color="auto"/>
              <w:right w:val="single" w:sz="4" w:space="0" w:color="auto"/>
            </w:tcBorders>
            <w:shd w:val="clear" w:color="auto" w:fill="auto"/>
            <w:noWrap/>
            <w:vAlign w:val="bottom"/>
            <w:hideMark/>
          </w:tcPr>
          <w:p w14:paraId="7EF17954" w14:textId="77777777" w:rsidR="00802E99" w:rsidRPr="002B7D83" w:rsidRDefault="00802E99" w:rsidP="004046F0">
            <w:pPr>
              <w:jc w:val="right"/>
              <w:rPr>
                <w:rFonts w:ascii="Arial" w:hAnsi="Arial" w:cs="Arial"/>
                <w:b/>
                <w:bCs/>
                <w:color w:val="000000"/>
              </w:rPr>
            </w:pPr>
            <w:r w:rsidRPr="002B7D83">
              <w:rPr>
                <w:rFonts w:ascii="Arial" w:hAnsi="Arial" w:cs="Arial"/>
                <w:b/>
                <w:bCs/>
                <w:color w:val="000000"/>
              </w:rPr>
              <w:t>5,846</w:t>
            </w:r>
          </w:p>
        </w:tc>
        <w:tc>
          <w:tcPr>
            <w:tcW w:w="1904" w:type="dxa"/>
            <w:tcBorders>
              <w:top w:val="nil"/>
              <w:left w:val="nil"/>
              <w:bottom w:val="single" w:sz="4" w:space="0" w:color="auto"/>
              <w:right w:val="single" w:sz="4" w:space="0" w:color="auto"/>
            </w:tcBorders>
            <w:shd w:val="clear" w:color="auto" w:fill="auto"/>
            <w:noWrap/>
            <w:vAlign w:val="bottom"/>
            <w:hideMark/>
          </w:tcPr>
          <w:p w14:paraId="10C88B92" w14:textId="77777777" w:rsidR="00802E99" w:rsidRPr="002B7D83" w:rsidRDefault="00802E99" w:rsidP="004046F0">
            <w:pPr>
              <w:jc w:val="right"/>
              <w:rPr>
                <w:rFonts w:ascii="Arial" w:hAnsi="Arial" w:cs="Arial"/>
                <w:b/>
                <w:bCs/>
                <w:color w:val="000000"/>
              </w:rPr>
            </w:pPr>
            <w:r w:rsidRPr="002B7D83">
              <w:rPr>
                <w:rFonts w:ascii="Arial" w:hAnsi="Arial" w:cs="Arial"/>
                <w:b/>
                <w:bCs/>
                <w:color w:val="000000"/>
              </w:rPr>
              <w:t>$200.6m</w:t>
            </w:r>
          </w:p>
        </w:tc>
        <w:tc>
          <w:tcPr>
            <w:tcW w:w="1104" w:type="dxa"/>
            <w:tcBorders>
              <w:top w:val="nil"/>
              <w:left w:val="nil"/>
              <w:bottom w:val="single" w:sz="4" w:space="0" w:color="auto"/>
              <w:right w:val="single" w:sz="4" w:space="0" w:color="auto"/>
            </w:tcBorders>
            <w:shd w:val="clear" w:color="auto" w:fill="auto"/>
            <w:noWrap/>
            <w:vAlign w:val="bottom"/>
            <w:hideMark/>
          </w:tcPr>
          <w:p w14:paraId="789F23D9" w14:textId="77777777" w:rsidR="00802E99" w:rsidRPr="002B7D83" w:rsidRDefault="00802E99" w:rsidP="004046F0">
            <w:pPr>
              <w:jc w:val="right"/>
              <w:rPr>
                <w:rFonts w:ascii="Arial" w:hAnsi="Arial" w:cs="Arial"/>
                <w:b/>
                <w:bCs/>
                <w:color w:val="000000"/>
              </w:rPr>
            </w:pPr>
            <w:r w:rsidRPr="002B7D83">
              <w:rPr>
                <w:rFonts w:ascii="Arial" w:hAnsi="Arial" w:cs="Arial"/>
                <w:b/>
                <w:bCs/>
                <w:color w:val="000000"/>
              </w:rPr>
              <w:t>100%</w:t>
            </w:r>
          </w:p>
        </w:tc>
        <w:tc>
          <w:tcPr>
            <w:tcW w:w="1217" w:type="dxa"/>
            <w:tcBorders>
              <w:top w:val="nil"/>
              <w:left w:val="nil"/>
              <w:bottom w:val="single" w:sz="4" w:space="0" w:color="auto"/>
              <w:right w:val="single" w:sz="4" w:space="0" w:color="auto"/>
            </w:tcBorders>
            <w:shd w:val="clear" w:color="auto" w:fill="auto"/>
            <w:noWrap/>
            <w:vAlign w:val="bottom"/>
            <w:hideMark/>
          </w:tcPr>
          <w:p w14:paraId="0C2F246F" w14:textId="77777777" w:rsidR="00802E99" w:rsidRPr="002B7D83" w:rsidRDefault="00802E99" w:rsidP="004046F0">
            <w:pPr>
              <w:jc w:val="right"/>
              <w:rPr>
                <w:rFonts w:ascii="Arial" w:hAnsi="Arial" w:cs="Arial"/>
                <w:b/>
                <w:bCs/>
                <w:color w:val="000000"/>
              </w:rPr>
            </w:pPr>
            <w:r w:rsidRPr="002B7D83">
              <w:rPr>
                <w:rFonts w:ascii="Arial" w:hAnsi="Arial" w:cs="Arial"/>
                <w:b/>
                <w:bCs/>
                <w:color w:val="000000"/>
              </w:rPr>
              <w:t>100%</w:t>
            </w:r>
          </w:p>
        </w:tc>
      </w:tr>
    </w:tbl>
    <w:p w14:paraId="0D500962" w14:textId="77777777" w:rsidR="00802E99" w:rsidRPr="00CF644F" w:rsidRDefault="00802E99" w:rsidP="00802E99">
      <w:pPr>
        <w:rPr>
          <w:rFonts w:ascii="Arial" w:hAnsi="Arial" w:cs="Arial"/>
          <w:i/>
          <w:color w:val="000000"/>
          <w:szCs w:val="24"/>
        </w:rPr>
      </w:pPr>
    </w:p>
    <w:p w14:paraId="5284BFE7" w14:textId="77777777" w:rsidR="00802E99" w:rsidRDefault="00802E99" w:rsidP="00802E99">
      <w:pPr>
        <w:rPr>
          <w:rFonts w:ascii="Arial" w:hAnsi="Arial" w:cs="Arial"/>
          <w:color w:val="000000"/>
          <w:szCs w:val="24"/>
        </w:rPr>
      </w:pPr>
      <w:r>
        <w:rPr>
          <w:rFonts w:ascii="Arial" w:hAnsi="Arial" w:cs="Arial"/>
          <w:color w:val="000000"/>
          <w:szCs w:val="24"/>
        </w:rPr>
        <w:t xml:space="preserve">RiskCover also records the body part injured in each workers’ compensation claim. This information is useful as people with common injuries should receive similar treatment, and therefore claims costs should be relatively consistent apart from wage differences </w:t>
      </w:r>
      <w:r w:rsidRPr="002F6025">
        <w:rPr>
          <w:rFonts w:ascii="Arial" w:hAnsi="Arial" w:cs="Arial"/>
          <w:color w:val="000000"/>
          <w:szCs w:val="24"/>
        </w:rPr>
        <w:t>if it is a lost-time injury claim.</w:t>
      </w:r>
    </w:p>
    <w:p w14:paraId="49C2EFD0" w14:textId="77777777" w:rsidR="00802E99" w:rsidRDefault="00802E99" w:rsidP="00802E99">
      <w:pPr>
        <w:rPr>
          <w:rFonts w:ascii="Arial" w:hAnsi="Arial" w:cs="Arial"/>
          <w:color w:val="000000"/>
          <w:szCs w:val="24"/>
        </w:rPr>
      </w:pPr>
    </w:p>
    <w:p w14:paraId="5676D1CF" w14:textId="77777777" w:rsidR="00802E99" w:rsidRPr="00621C02" w:rsidRDefault="00802E99" w:rsidP="00802E99">
      <w:pPr>
        <w:rPr>
          <w:rFonts w:ascii="Arial" w:hAnsi="Arial" w:cs="Arial"/>
          <w:color w:val="000000"/>
          <w:szCs w:val="24"/>
        </w:rPr>
      </w:pPr>
      <w:r w:rsidRPr="00621C02">
        <w:rPr>
          <w:rFonts w:ascii="Arial" w:hAnsi="Arial" w:cs="Arial"/>
          <w:color w:val="000000"/>
          <w:szCs w:val="24"/>
        </w:rPr>
        <w:t>In 201</w:t>
      </w:r>
      <w:r>
        <w:rPr>
          <w:rFonts w:ascii="Arial" w:hAnsi="Arial" w:cs="Arial"/>
          <w:color w:val="000000"/>
          <w:szCs w:val="24"/>
        </w:rPr>
        <w:t>8</w:t>
      </w:r>
      <w:r w:rsidRPr="00621C02">
        <w:rPr>
          <w:rFonts w:ascii="Arial" w:hAnsi="Arial" w:cs="Arial"/>
          <w:color w:val="000000"/>
          <w:szCs w:val="24"/>
        </w:rPr>
        <w:t xml:space="preserve">, RiskCover </w:t>
      </w:r>
      <w:r>
        <w:rPr>
          <w:rFonts w:ascii="Arial" w:hAnsi="Arial" w:cs="Arial"/>
          <w:color w:val="000000"/>
          <w:szCs w:val="24"/>
        </w:rPr>
        <w:t>finalised</w:t>
      </w:r>
      <w:r w:rsidRPr="00621C02">
        <w:rPr>
          <w:rFonts w:ascii="Arial" w:hAnsi="Arial" w:cs="Arial"/>
          <w:color w:val="000000"/>
          <w:szCs w:val="24"/>
        </w:rPr>
        <w:t xml:space="preserve"> 1,</w:t>
      </w:r>
      <w:r>
        <w:rPr>
          <w:rFonts w:ascii="Arial" w:hAnsi="Arial" w:cs="Arial"/>
          <w:color w:val="000000"/>
          <w:szCs w:val="24"/>
        </w:rPr>
        <w:t>708</w:t>
      </w:r>
      <w:r w:rsidRPr="00621C02">
        <w:rPr>
          <w:rFonts w:ascii="Arial" w:hAnsi="Arial" w:cs="Arial"/>
          <w:color w:val="000000"/>
          <w:szCs w:val="24"/>
        </w:rPr>
        <w:t xml:space="preserve"> claims for injuries to upper limbs, which represented $</w:t>
      </w:r>
      <w:r>
        <w:rPr>
          <w:rFonts w:ascii="Arial" w:hAnsi="Arial" w:cs="Arial"/>
          <w:color w:val="000000"/>
          <w:szCs w:val="24"/>
        </w:rPr>
        <w:t>52.7 million or 26</w:t>
      </w:r>
      <w:r w:rsidRPr="00621C02">
        <w:rPr>
          <w:rFonts w:ascii="Arial" w:hAnsi="Arial" w:cs="Arial"/>
          <w:color w:val="000000"/>
          <w:szCs w:val="24"/>
        </w:rPr>
        <w:t xml:space="preserve">% of total </w:t>
      </w:r>
      <w:r>
        <w:rPr>
          <w:rFonts w:ascii="Arial" w:hAnsi="Arial" w:cs="Arial"/>
          <w:color w:val="000000"/>
          <w:szCs w:val="24"/>
        </w:rPr>
        <w:t xml:space="preserve">finalised workers’ compensation </w:t>
      </w:r>
      <w:r w:rsidRPr="00621C02">
        <w:rPr>
          <w:rFonts w:ascii="Arial" w:hAnsi="Arial" w:cs="Arial"/>
          <w:color w:val="000000"/>
          <w:szCs w:val="24"/>
        </w:rPr>
        <w:t>claims costs.</w:t>
      </w:r>
      <w:r>
        <w:rPr>
          <w:rFonts w:ascii="Arial" w:hAnsi="Arial" w:cs="Arial"/>
          <w:color w:val="000000"/>
          <w:szCs w:val="24"/>
        </w:rPr>
        <w:t xml:space="preserve"> </w:t>
      </w:r>
      <w:r w:rsidRPr="00621C02">
        <w:rPr>
          <w:rFonts w:ascii="Arial" w:hAnsi="Arial" w:cs="Arial"/>
          <w:color w:val="000000"/>
          <w:szCs w:val="24"/>
        </w:rPr>
        <w:t>The g</w:t>
      </w:r>
      <w:r>
        <w:rPr>
          <w:rFonts w:ascii="Arial" w:hAnsi="Arial" w:cs="Arial"/>
          <w:color w:val="000000"/>
          <w:szCs w:val="24"/>
        </w:rPr>
        <w:t>raphic below shows the number</w:t>
      </w:r>
      <w:r w:rsidRPr="00621C02">
        <w:rPr>
          <w:rFonts w:ascii="Arial" w:hAnsi="Arial" w:cs="Arial"/>
          <w:color w:val="000000"/>
          <w:szCs w:val="24"/>
        </w:rPr>
        <w:t xml:space="preserve"> and cost of claims finalised during 201</w:t>
      </w:r>
      <w:r>
        <w:rPr>
          <w:rFonts w:ascii="Arial" w:hAnsi="Arial" w:cs="Arial"/>
          <w:color w:val="000000"/>
          <w:szCs w:val="24"/>
        </w:rPr>
        <w:t>8</w:t>
      </w:r>
      <w:r w:rsidRPr="00621C02">
        <w:rPr>
          <w:rFonts w:ascii="Arial" w:hAnsi="Arial" w:cs="Arial"/>
          <w:color w:val="000000"/>
          <w:szCs w:val="24"/>
        </w:rPr>
        <w:t>, regardless of the year of lodgement, for workers’ compensation injuries by body part.</w:t>
      </w:r>
    </w:p>
    <w:p w14:paraId="275BC479" w14:textId="77777777" w:rsidR="00802E99" w:rsidRPr="00621C02" w:rsidRDefault="00802E99" w:rsidP="00802E99">
      <w:pPr>
        <w:rPr>
          <w:rFonts w:ascii="Arial" w:hAnsi="Arial" w:cs="Arial"/>
          <w:color w:val="000000"/>
          <w:szCs w:val="24"/>
        </w:rPr>
      </w:pPr>
    </w:p>
    <w:p w14:paraId="068D1A5F" w14:textId="77777777" w:rsidR="00802E99" w:rsidRPr="002B7D83" w:rsidRDefault="00802E99" w:rsidP="00802E99">
      <w:pPr>
        <w:rPr>
          <w:rFonts w:ascii="Arial" w:hAnsi="Arial" w:cs="Arial"/>
          <w:color w:val="000000"/>
          <w:szCs w:val="24"/>
        </w:rPr>
      </w:pPr>
      <w:r w:rsidRPr="002B7D83">
        <w:rPr>
          <w:rFonts w:ascii="Arial" w:hAnsi="Arial" w:cs="Arial"/>
          <w:i/>
          <w:color w:val="000000"/>
          <w:szCs w:val="24"/>
        </w:rPr>
        <w:t>Infographic – Finalised Workers' Compensation Claims - Number and Cost of Injuries by Body Part</w:t>
      </w:r>
    </w:p>
    <w:p w14:paraId="6E395BC4" w14:textId="77777777" w:rsidR="00802E99" w:rsidRPr="002B7D83" w:rsidRDefault="00802E99" w:rsidP="00802E99">
      <w:pPr>
        <w:rPr>
          <w:rFonts w:ascii="Arial" w:hAnsi="Arial" w:cs="Arial"/>
          <w:color w:val="000000"/>
          <w:szCs w:val="24"/>
        </w:rPr>
      </w:pPr>
    </w:p>
    <w:tbl>
      <w:tblPr>
        <w:tblW w:w="6560" w:type="dxa"/>
        <w:tblInd w:w="-5" w:type="dxa"/>
        <w:tblLook w:val="04A0" w:firstRow="1" w:lastRow="0" w:firstColumn="1" w:lastColumn="0" w:noHBand="0" w:noVBand="1"/>
      </w:tblPr>
      <w:tblGrid>
        <w:gridCol w:w="2760"/>
        <w:gridCol w:w="2080"/>
        <w:gridCol w:w="1720"/>
      </w:tblGrid>
      <w:tr w:rsidR="00802E99" w:rsidRPr="002B7D83" w14:paraId="71DAAF83" w14:textId="77777777" w:rsidTr="004046F0">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6351" w14:textId="77777777" w:rsidR="00802E99" w:rsidRPr="002B7D83" w:rsidRDefault="00802E99" w:rsidP="004046F0">
            <w:pPr>
              <w:rPr>
                <w:rFonts w:ascii="Arial" w:hAnsi="Arial" w:cs="Arial"/>
                <w:color w:val="000000"/>
                <w:szCs w:val="24"/>
                <w:lang w:eastAsia="en-AU"/>
              </w:rPr>
            </w:pPr>
            <w:r w:rsidRPr="002B7D83">
              <w:rPr>
                <w:rFonts w:ascii="Arial" w:hAnsi="Arial" w:cs="Arial"/>
                <w:color w:val="000000"/>
                <w:szCs w:val="24"/>
                <w:lang w:eastAsia="en-AU"/>
              </w:rPr>
              <w:t> </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0A28F0AC" w14:textId="77777777" w:rsidR="00802E99" w:rsidRPr="002B7D83" w:rsidRDefault="00802E99" w:rsidP="004046F0">
            <w:pPr>
              <w:rPr>
                <w:rFonts w:ascii="Arial" w:hAnsi="Arial" w:cs="Arial"/>
                <w:b/>
                <w:bCs/>
                <w:color w:val="000000"/>
                <w:szCs w:val="24"/>
                <w:lang w:eastAsia="en-AU"/>
              </w:rPr>
            </w:pPr>
            <w:r w:rsidRPr="002B7D83">
              <w:rPr>
                <w:rFonts w:ascii="Arial" w:hAnsi="Arial" w:cs="Arial"/>
                <w:b/>
                <w:bCs/>
                <w:color w:val="000000"/>
                <w:szCs w:val="24"/>
                <w:lang w:eastAsia="en-AU"/>
              </w:rPr>
              <w:t>Number of injuries</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5FA5AC95" w14:textId="77777777" w:rsidR="00802E99" w:rsidRPr="002B7D83" w:rsidRDefault="00802E99" w:rsidP="004046F0">
            <w:pPr>
              <w:rPr>
                <w:rFonts w:ascii="Arial" w:hAnsi="Arial" w:cs="Arial"/>
                <w:b/>
                <w:bCs/>
                <w:color w:val="000000"/>
                <w:szCs w:val="24"/>
                <w:lang w:eastAsia="en-AU"/>
              </w:rPr>
            </w:pPr>
            <w:r w:rsidRPr="002B7D83">
              <w:rPr>
                <w:rFonts w:ascii="Arial" w:hAnsi="Arial" w:cs="Arial"/>
                <w:b/>
                <w:bCs/>
                <w:color w:val="000000"/>
                <w:szCs w:val="24"/>
                <w:lang w:eastAsia="en-AU"/>
              </w:rPr>
              <w:t>Total Costs</w:t>
            </w:r>
          </w:p>
        </w:tc>
      </w:tr>
      <w:tr w:rsidR="00802E99" w:rsidRPr="002B7D83" w14:paraId="73BCFB57" w14:textId="77777777" w:rsidTr="004046F0">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6D8C1731" w14:textId="77777777" w:rsidR="00802E99" w:rsidRPr="002B7D83" w:rsidRDefault="00802E99" w:rsidP="004046F0">
            <w:pPr>
              <w:rPr>
                <w:rFonts w:ascii="Arial" w:hAnsi="Arial" w:cs="Arial"/>
                <w:color w:val="000000"/>
                <w:szCs w:val="24"/>
                <w:lang w:eastAsia="en-AU"/>
              </w:rPr>
            </w:pPr>
            <w:r w:rsidRPr="002B7D83">
              <w:rPr>
                <w:rFonts w:ascii="Arial" w:hAnsi="Arial" w:cs="Arial"/>
                <w:color w:val="000000"/>
                <w:szCs w:val="24"/>
                <w:lang w:eastAsia="en-AU"/>
              </w:rPr>
              <w:t>Neck</w:t>
            </w:r>
          </w:p>
        </w:tc>
        <w:tc>
          <w:tcPr>
            <w:tcW w:w="2080" w:type="dxa"/>
            <w:tcBorders>
              <w:top w:val="nil"/>
              <w:left w:val="nil"/>
              <w:bottom w:val="single" w:sz="4" w:space="0" w:color="auto"/>
              <w:right w:val="single" w:sz="4" w:space="0" w:color="auto"/>
            </w:tcBorders>
            <w:shd w:val="clear" w:color="auto" w:fill="auto"/>
            <w:noWrap/>
            <w:vAlign w:val="center"/>
            <w:hideMark/>
          </w:tcPr>
          <w:p w14:paraId="3262B481"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556</w:t>
            </w:r>
          </w:p>
        </w:tc>
        <w:tc>
          <w:tcPr>
            <w:tcW w:w="1720" w:type="dxa"/>
            <w:tcBorders>
              <w:top w:val="nil"/>
              <w:left w:val="nil"/>
              <w:bottom w:val="single" w:sz="4" w:space="0" w:color="auto"/>
              <w:right w:val="single" w:sz="4" w:space="0" w:color="auto"/>
            </w:tcBorders>
            <w:shd w:val="clear" w:color="auto" w:fill="auto"/>
            <w:noWrap/>
            <w:vAlign w:val="center"/>
            <w:hideMark/>
          </w:tcPr>
          <w:p w14:paraId="0FB37C87"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$8.5m</w:t>
            </w:r>
          </w:p>
        </w:tc>
      </w:tr>
      <w:tr w:rsidR="00802E99" w:rsidRPr="002B7D83" w14:paraId="68B8033A" w14:textId="77777777" w:rsidTr="004046F0">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34033091" w14:textId="77777777" w:rsidR="00802E99" w:rsidRPr="002B7D83" w:rsidRDefault="00802E99" w:rsidP="004046F0">
            <w:pPr>
              <w:rPr>
                <w:rFonts w:ascii="Arial" w:hAnsi="Arial" w:cs="Arial"/>
                <w:color w:val="000000"/>
                <w:szCs w:val="24"/>
                <w:lang w:eastAsia="en-AU"/>
              </w:rPr>
            </w:pPr>
            <w:r w:rsidRPr="002B7D83">
              <w:rPr>
                <w:rFonts w:ascii="Arial" w:hAnsi="Arial" w:cs="Arial"/>
                <w:color w:val="000000"/>
                <w:szCs w:val="24"/>
                <w:lang w:eastAsia="en-AU"/>
              </w:rPr>
              <w:t>Upper limbs</w:t>
            </w:r>
          </w:p>
        </w:tc>
        <w:tc>
          <w:tcPr>
            <w:tcW w:w="2080" w:type="dxa"/>
            <w:tcBorders>
              <w:top w:val="nil"/>
              <w:left w:val="nil"/>
              <w:bottom w:val="single" w:sz="4" w:space="0" w:color="auto"/>
              <w:right w:val="single" w:sz="4" w:space="0" w:color="auto"/>
            </w:tcBorders>
            <w:shd w:val="clear" w:color="auto" w:fill="auto"/>
            <w:noWrap/>
            <w:vAlign w:val="center"/>
            <w:hideMark/>
          </w:tcPr>
          <w:p w14:paraId="796AFD2B"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1,708</w:t>
            </w:r>
          </w:p>
        </w:tc>
        <w:tc>
          <w:tcPr>
            <w:tcW w:w="1720" w:type="dxa"/>
            <w:tcBorders>
              <w:top w:val="nil"/>
              <w:left w:val="nil"/>
              <w:bottom w:val="single" w:sz="4" w:space="0" w:color="auto"/>
              <w:right w:val="single" w:sz="4" w:space="0" w:color="auto"/>
            </w:tcBorders>
            <w:shd w:val="clear" w:color="auto" w:fill="auto"/>
            <w:noWrap/>
            <w:vAlign w:val="center"/>
            <w:hideMark/>
          </w:tcPr>
          <w:p w14:paraId="187F5A4D"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$52.7m</w:t>
            </w:r>
          </w:p>
        </w:tc>
      </w:tr>
      <w:tr w:rsidR="00802E99" w:rsidRPr="002B7D83" w14:paraId="659709F1" w14:textId="77777777" w:rsidTr="004046F0">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7660BE4E" w14:textId="77777777" w:rsidR="00802E99" w:rsidRPr="002B7D83" w:rsidRDefault="00802E99" w:rsidP="004046F0">
            <w:pPr>
              <w:rPr>
                <w:rFonts w:ascii="Arial" w:hAnsi="Arial" w:cs="Arial"/>
                <w:color w:val="000000"/>
                <w:szCs w:val="24"/>
                <w:lang w:eastAsia="en-AU"/>
              </w:rPr>
            </w:pPr>
            <w:r w:rsidRPr="002B7D83">
              <w:rPr>
                <w:rFonts w:ascii="Arial" w:hAnsi="Arial" w:cs="Arial"/>
                <w:color w:val="000000"/>
                <w:szCs w:val="24"/>
                <w:lang w:eastAsia="en-AU"/>
              </w:rPr>
              <w:t>Trunk and back</w:t>
            </w:r>
          </w:p>
        </w:tc>
        <w:tc>
          <w:tcPr>
            <w:tcW w:w="2080" w:type="dxa"/>
            <w:tcBorders>
              <w:top w:val="nil"/>
              <w:left w:val="nil"/>
              <w:bottom w:val="single" w:sz="4" w:space="0" w:color="auto"/>
              <w:right w:val="single" w:sz="4" w:space="0" w:color="auto"/>
            </w:tcBorders>
            <w:shd w:val="clear" w:color="auto" w:fill="auto"/>
            <w:noWrap/>
            <w:vAlign w:val="center"/>
            <w:hideMark/>
          </w:tcPr>
          <w:p w14:paraId="7871A84C"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975</w:t>
            </w:r>
          </w:p>
        </w:tc>
        <w:tc>
          <w:tcPr>
            <w:tcW w:w="1720" w:type="dxa"/>
            <w:tcBorders>
              <w:top w:val="nil"/>
              <w:left w:val="nil"/>
              <w:bottom w:val="single" w:sz="4" w:space="0" w:color="auto"/>
              <w:right w:val="single" w:sz="4" w:space="0" w:color="auto"/>
            </w:tcBorders>
            <w:shd w:val="clear" w:color="auto" w:fill="auto"/>
            <w:noWrap/>
            <w:vAlign w:val="center"/>
            <w:hideMark/>
          </w:tcPr>
          <w:p w14:paraId="3B527674"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$33m</w:t>
            </w:r>
          </w:p>
        </w:tc>
      </w:tr>
      <w:tr w:rsidR="00802E99" w:rsidRPr="002B7D83" w14:paraId="16935886" w14:textId="77777777" w:rsidTr="004046F0">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6E655F87" w14:textId="77777777" w:rsidR="00802E99" w:rsidRPr="002B7D83" w:rsidRDefault="00802E99" w:rsidP="004046F0">
            <w:pPr>
              <w:rPr>
                <w:rFonts w:ascii="Arial" w:hAnsi="Arial" w:cs="Arial"/>
                <w:color w:val="000000"/>
                <w:szCs w:val="24"/>
                <w:lang w:eastAsia="en-AU"/>
              </w:rPr>
            </w:pPr>
            <w:r w:rsidRPr="002B7D83">
              <w:rPr>
                <w:rFonts w:ascii="Arial" w:hAnsi="Arial" w:cs="Arial"/>
                <w:color w:val="000000"/>
                <w:szCs w:val="24"/>
                <w:lang w:eastAsia="en-AU"/>
              </w:rPr>
              <w:t>Lower limbs</w:t>
            </w:r>
          </w:p>
        </w:tc>
        <w:tc>
          <w:tcPr>
            <w:tcW w:w="2080" w:type="dxa"/>
            <w:tcBorders>
              <w:top w:val="nil"/>
              <w:left w:val="nil"/>
              <w:bottom w:val="single" w:sz="4" w:space="0" w:color="auto"/>
              <w:right w:val="single" w:sz="4" w:space="0" w:color="auto"/>
            </w:tcBorders>
            <w:shd w:val="clear" w:color="auto" w:fill="auto"/>
            <w:noWrap/>
            <w:vAlign w:val="center"/>
            <w:hideMark/>
          </w:tcPr>
          <w:p w14:paraId="420EBD59"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1,214</w:t>
            </w:r>
          </w:p>
        </w:tc>
        <w:tc>
          <w:tcPr>
            <w:tcW w:w="1720" w:type="dxa"/>
            <w:tcBorders>
              <w:top w:val="nil"/>
              <w:left w:val="nil"/>
              <w:bottom w:val="single" w:sz="4" w:space="0" w:color="auto"/>
              <w:right w:val="single" w:sz="4" w:space="0" w:color="auto"/>
            </w:tcBorders>
            <w:shd w:val="clear" w:color="auto" w:fill="auto"/>
            <w:noWrap/>
            <w:vAlign w:val="center"/>
            <w:hideMark/>
          </w:tcPr>
          <w:p w14:paraId="4A82CA2F"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$39.2m</w:t>
            </w:r>
          </w:p>
        </w:tc>
      </w:tr>
      <w:tr w:rsidR="00802E99" w:rsidRPr="002B7D83" w14:paraId="27FF0D74" w14:textId="77777777" w:rsidTr="004046F0">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2DB7D24A" w14:textId="77777777" w:rsidR="00802E99" w:rsidRPr="002B7D83" w:rsidRDefault="00802E99" w:rsidP="004046F0">
            <w:pPr>
              <w:rPr>
                <w:rFonts w:ascii="Arial" w:hAnsi="Arial" w:cs="Arial"/>
                <w:color w:val="000000"/>
                <w:szCs w:val="24"/>
                <w:lang w:eastAsia="en-AU"/>
              </w:rPr>
            </w:pPr>
            <w:r w:rsidRPr="002B7D83">
              <w:rPr>
                <w:rFonts w:ascii="Arial" w:hAnsi="Arial" w:cs="Arial"/>
                <w:color w:val="000000"/>
                <w:szCs w:val="24"/>
                <w:lang w:eastAsia="en-AU"/>
              </w:rPr>
              <w:t>Head</w:t>
            </w:r>
          </w:p>
        </w:tc>
        <w:tc>
          <w:tcPr>
            <w:tcW w:w="2080" w:type="dxa"/>
            <w:tcBorders>
              <w:top w:val="nil"/>
              <w:left w:val="nil"/>
              <w:bottom w:val="single" w:sz="4" w:space="0" w:color="auto"/>
              <w:right w:val="single" w:sz="4" w:space="0" w:color="auto"/>
            </w:tcBorders>
            <w:shd w:val="clear" w:color="auto" w:fill="auto"/>
            <w:noWrap/>
            <w:vAlign w:val="center"/>
            <w:hideMark/>
          </w:tcPr>
          <w:p w14:paraId="000B30E9"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556</w:t>
            </w:r>
          </w:p>
        </w:tc>
        <w:tc>
          <w:tcPr>
            <w:tcW w:w="1720" w:type="dxa"/>
            <w:tcBorders>
              <w:top w:val="nil"/>
              <w:left w:val="nil"/>
              <w:bottom w:val="single" w:sz="4" w:space="0" w:color="auto"/>
              <w:right w:val="single" w:sz="4" w:space="0" w:color="auto"/>
            </w:tcBorders>
            <w:shd w:val="clear" w:color="auto" w:fill="auto"/>
            <w:noWrap/>
            <w:vAlign w:val="center"/>
            <w:hideMark/>
          </w:tcPr>
          <w:p w14:paraId="48600DD2"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$8.5m</w:t>
            </w:r>
          </w:p>
        </w:tc>
      </w:tr>
      <w:tr w:rsidR="00802E99" w:rsidRPr="002B7D83" w14:paraId="176784BA" w14:textId="77777777" w:rsidTr="004046F0">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7EB3EC49" w14:textId="77777777" w:rsidR="00802E99" w:rsidRPr="002B7D83" w:rsidRDefault="00802E99" w:rsidP="004046F0">
            <w:pPr>
              <w:rPr>
                <w:rFonts w:ascii="Arial" w:hAnsi="Arial" w:cs="Arial"/>
                <w:color w:val="000000"/>
                <w:szCs w:val="24"/>
                <w:lang w:eastAsia="en-AU"/>
              </w:rPr>
            </w:pPr>
            <w:r w:rsidRPr="002B7D83">
              <w:rPr>
                <w:rFonts w:ascii="Arial" w:hAnsi="Arial" w:cs="Arial"/>
                <w:color w:val="000000"/>
                <w:szCs w:val="24"/>
                <w:lang w:eastAsia="en-AU"/>
              </w:rPr>
              <w:t>Mental stress</w:t>
            </w:r>
          </w:p>
        </w:tc>
        <w:tc>
          <w:tcPr>
            <w:tcW w:w="2080" w:type="dxa"/>
            <w:tcBorders>
              <w:top w:val="nil"/>
              <w:left w:val="nil"/>
              <w:bottom w:val="single" w:sz="4" w:space="0" w:color="auto"/>
              <w:right w:val="single" w:sz="4" w:space="0" w:color="auto"/>
            </w:tcBorders>
            <w:shd w:val="clear" w:color="auto" w:fill="auto"/>
            <w:noWrap/>
            <w:vAlign w:val="center"/>
            <w:hideMark/>
          </w:tcPr>
          <w:p w14:paraId="577CA1DB"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514</w:t>
            </w:r>
          </w:p>
        </w:tc>
        <w:tc>
          <w:tcPr>
            <w:tcW w:w="1720" w:type="dxa"/>
            <w:tcBorders>
              <w:top w:val="nil"/>
              <w:left w:val="nil"/>
              <w:bottom w:val="single" w:sz="4" w:space="0" w:color="auto"/>
              <w:right w:val="single" w:sz="4" w:space="0" w:color="auto"/>
            </w:tcBorders>
            <w:shd w:val="clear" w:color="auto" w:fill="auto"/>
            <w:noWrap/>
            <w:vAlign w:val="center"/>
            <w:hideMark/>
          </w:tcPr>
          <w:p w14:paraId="635A39C7"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$40.1m</w:t>
            </w:r>
          </w:p>
        </w:tc>
      </w:tr>
      <w:tr w:rsidR="00802E99" w:rsidRPr="002B7D83" w14:paraId="057EE5BC" w14:textId="77777777" w:rsidTr="004046F0">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795B8997" w14:textId="77777777" w:rsidR="00802E99" w:rsidRPr="002B7D83" w:rsidRDefault="00802E99" w:rsidP="004046F0">
            <w:pPr>
              <w:rPr>
                <w:rFonts w:ascii="Arial" w:hAnsi="Arial" w:cs="Arial"/>
                <w:color w:val="000000"/>
                <w:szCs w:val="24"/>
                <w:lang w:eastAsia="en-AU"/>
              </w:rPr>
            </w:pPr>
            <w:r w:rsidRPr="002B7D83">
              <w:rPr>
                <w:rFonts w:ascii="Arial" w:hAnsi="Arial" w:cs="Arial"/>
                <w:color w:val="000000"/>
                <w:szCs w:val="24"/>
                <w:lang w:eastAsia="en-AU"/>
              </w:rPr>
              <w:t xml:space="preserve">Multiple and other locations </w:t>
            </w:r>
          </w:p>
        </w:tc>
        <w:tc>
          <w:tcPr>
            <w:tcW w:w="2080" w:type="dxa"/>
            <w:tcBorders>
              <w:top w:val="nil"/>
              <w:left w:val="nil"/>
              <w:bottom w:val="single" w:sz="4" w:space="0" w:color="auto"/>
              <w:right w:val="single" w:sz="4" w:space="0" w:color="auto"/>
            </w:tcBorders>
            <w:shd w:val="clear" w:color="auto" w:fill="auto"/>
            <w:noWrap/>
            <w:vAlign w:val="center"/>
            <w:hideMark/>
          </w:tcPr>
          <w:p w14:paraId="47BA64A2"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731</w:t>
            </w:r>
          </w:p>
        </w:tc>
        <w:tc>
          <w:tcPr>
            <w:tcW w:w="1720" w:type="dxa"/>
            <w:tcBorders>
              <w:top w:val="nil"/>
              <w:left w:val="nil"/>
              <w:bottom w:val="single" w:sz="4" w:space="0" w:color="auto"/>
              <w:right w:val="single" w:sz="4" w:space="0" w:color="auto"/>
            </w:tcBorders>
            <w:shd w:val="clear" w:color="auto" w:fill="auto"/>
            <w:noWrap/>
            <w:vAlign w:val="center"/>
            <w:hideMark/>
          </w:tcPr>
          <w:p w14:paraId="54B38194" w14:textId="77777777" w:rsidR="00802E99" w:rsidRPr="002B7D83" w:rsidRDefault="00802E99" w:rsidP="004046F0">
            <w:pPr>
              <w:jc w:val="right"/>
              <w:rPr>
                <w:rFonts w:ascii="Arial" w:hAnsi="Arial" w:cs="Arial"/>
                <w:color w:val="000000"/>
                <w:szCs w:val="24"/>
                <w:lang w:eastAsia="en-AU"/>
              </w:rPr>
            </w:pPr>
            <w:r w:rsidRPr="002B7D83">
              <w:rPr>
                <w:rFonts w:ascii="Arial" w:hAnsi="Arial" w:cs="Arial"/>
                <w:color w:val="000000"/>
                <w:szCs w:val="24"/>
                <w:lang w:eastAsia="en-AU"/>
              </w:rPr>
              <w:t>$24m</w:t>
            </w:r>
          </w:p>
        </w:tc>
      </w:tr>
      <w:tr w:rsidR="00802E99" w:rsidRPr="00CF644F" w14:paraId="7733ECC6" w14:textId="77777777" w:rsidTr="004046F0">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FFE0A" w14:textId="77777777" w:rsidR="00802E99" w:rsidRPr="002B7D83" w:rsidRDefault="00802E99" w:rsidP="004046F0">
            <w:pPr>
              <w:rPr>
                <w:rFonts w:ascii="Arial" w:hAnsi="Arial" w:cs="Arial"/>
                <w:b/>
                <w:color w:val="000000"/>
                <w:szCs w:val="24"/>
                <w:lang w:eastAsia="en-AU"/>
              </w:rPr>
            </w:pPr>
            <w:r w:rsidRPr="002B7D83">
              <w:rPr>
                <w:rFonts w:ascii="Arial" w:hAnsi="Arial" w:cs="Arial"/>
                <w:b/>
                <w:color w:val="000000"/>
                <w:szCs w:val="24"/>
                <w:lang w:eastAsia="en-AU"/>
              </w:rPr>
              <w:t>TOTAL</w:t>
            </w:r>
          </w:p>
        </w:tc>
        <w:tc>
          <w:tcPr>
            <w:tcW w:w="2080" w:type="dxa"/>
            <w:tcBorders>
              <w:top w:val="single" w:sz="4" w:space="0" w:color="auto"/>
              <w:left w:val="nil"/>
              <w:bottom w:val="single" w:sz="4" w:space="0" w:color="auto"/>
              <w:right w:val="single" w:sz="4" w:space="0" w:color="auto"/>
            </w:tcBorders>
            <w:shd w:val="clear" w:color="auto" w:fill="auto"/>
            <w:noWrap/>
            <w:vAlign w:val="center"/>
          </w:tcPr>
          <w:p w14:paraId="6201ADEE" w14:textId="77777777" w:rsidR="00802E99" w:rsidRPr="002B7D83" w:rsidRDefault="00802E99" w:rsidP="004046F0">
            <w:pPr>
              <w:jc w:val="right"/>
              <w:rPr>
                <w:rFonts w:ascii="Arial" w:hAnsi="Arial" w:cs="Arial"/>
                <w:b/>
                <w:color w:val="000000"/>
                <w:szCs w:val="24"/>
                <w:lang w:eastAsia="en-AU"/>
              </w:rPr>
            </w:pPr>
            <w:r w:rsidRPr="002B7D83">
              <w:rPr>
                <w:rFonts w:ascii="Arial" w:hAnsi="Arial" w:cs="Arial"/>
                <w:b/>
                <w:color w:val="000000"/>
                <w:szCs w:val="24"/>
                <w:lang w:eastAsia="en-AU"/>
              </w:rPr>
              <w:t>5,846</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757A7DAB" w14:textId="77777777" w:rsidR="00802E99" w:rsidRPr="002B7D83" w:rsidRDefault="00802E99" w:rsidP="004046F0">
            <w:pPr>
              <w:jc w:val="right"/>
              <w:rPr>
                <w:rFonts w:ascii="Arial" w:hAnsi="Arial" w:cs="Arial"/>
                <w:b/>
                <w:color w:val="000000"/>
                <w:szCs w:val="24"/>
                <w:lang w:eastAsia="en-AU"/>
              </w:rPr>
            </w:pPr>
            <w:r w:rsidRPr="002B7D83">
              <w:rPr>
                <w:rFonts w:ascii="Arial" w:hAnsi="Arial" w:cs="Arial"/>
                <w:b/>
                <w:color w:val="000000"/>
                <w:szCs w:val="24"/>
                <w:lang w:eastAsia="en-AU"/>
              </w:rPr>
              <w:t>$200.6m</w:t>
            </w:r>
          </w:p>
        </w:tc>
      </w:tr>
    </w:tbl>
    <w:p w14:paraId="1E0F5840" w14:textId="77777777" w:rsidR="00802E99" w:rsidRDefault="00802E99" w:rsidP="00802E99">
      <w:pPr>
        <w:rPr>
          <w:rFonts w:ascii="Arial" w:hAnsi="Arial" w:cs="Arial"/>
          <w:color w:val="000000"/>
          <w:szCs w:val="24"/>
        </w:rPr>
      </w:pPr>
    </w:p>
    <w:p w14:paraId="4DB94D84" w14:textId="77777777" w:rsidR="00802E99" w:rsidRPr="002B7D83" w:rsidRDefault="00802E99" w:rsidP="002B7D83">
      <w:pPr>
        <w:pStyle w:val="ARHeading3"/>
        <w:pBdr>
          <w:top w:val="single" w:sz="4" w:space="1" w:color="auto"/>
          <w:left w:val="single" w:sz="4" w:space="4" w:color="auto"/>
          <w:bottom w:val="single" w:sz="4" w:space="1" w:color="auto"/>
          <w:right w:val="single" w:sz="4" w:space="4" w:color="auto"/>
        </w:pBdr>
      </w:pPr>
      <w:r w:rsidRPr="002B7D83">
        <w:t>Machinery of Government Changes</w:t>
      </w:r>
    </w:p>
    <w:p w14:paraId="58DF989E" w14:textId="77777777" w:rsidR="00802E99" w:rsidRPr="00F60168" w:rsidRDefault="00802E99" w:rsidP="002B7D83">
      <w:pPr>
        <w:pBdr>
          <w:top w:val="single" w:sz="4" w:space="1" w:color="auto"/>
          <w:left w:val="single" w:sz="4" w:space="4" w:color="auto"/>
          <w:bottom w:val="single" w:sz="4" w:space="1" w:color="auto"/>
          <w:right w:val="single" w:sz="4" w:space="4" w:color="auto"/>
        </w:pBdr>
        <w:rPr>
          <w:rFonts w:ascii="Arial" w:hAnsi="Arial" w:cs="Arial"/>
          <w:color w:val="000000"/>
          <w:szCs w:val="24"/>
        </w:rPr>
      </w:pPr>
      <w:r w:rsidRPr="00F60168">
        <w:rPr>
          <w:rFonts w:ascii="Arial" w:hAnsi="Arial" w:cs="Arial"/>
          <w:color w:val="000000"/>
          <w:szCs w:val="24"/>
        </w:rPr>
        <w:t xml:space="preserve">In 2017, the Government announced Machinery of Government (MOG) changes to consolidate the number of </w:t>
      </w:r>
      <w:r>
        <w:rPr>
          <w:rFonts w:ascii="Arial" w:hAnsi="Arial" w:cs="Arial"/>
          <w:color w:val="000000"/>
          <w:szCs w:val="24"/>
        </w:rPr>
        <w:t>departments</w:t>
      </w:r>
      <w:r w:rsidRPr="00F60168">
        <w:rPr>
          <w:rFonts w:ascii="Arial" w:hAnsi="Arial" w:cs="Arial"/>
          <w:color w:val="000000"/>
          <w:szCs w:val="24"/>
        </w:rPr>
        <w:t xml:space="preserve"> from 41 to 25 to help create a more efficient public sector, and deliver on its election commitment.</w:t>
      </w:r>
    </w:p>
    <w:p w14:paraId="14EED32C" w14:textId="77777777" w:rsidR="00802E99" w:rsidRPr="00F60168" w:rsidRDefault="00802E99" w:rsidP="002B7D83">
      <w:pPr>
        <w:pBdr>
          <w:top w:val="single" w:sz="4" w:space="1" w:color="auto"/>
          <w:left w:val="single" w:sz="4" w:space="4" w:color="auto"/>
          <w:bottom w:val="single" w:sz="4" w:space="1" w:color="auto"/>
          <w:right w:val="single" w:sz="4" w:space="4" w:color="auto"/>
        </w:pBdr>
        <w:rPr>
          <w:rFonts w:ascii="Arial" w:hAnsi="Arial" w:cs="Arial"/>
          <w:color w:val="000000"/>
          <w:szCs w:val="24"/>
        </w:rPr>
      </w:pPr>
    </w:p>
    <w:p w14:paraId="2927F66F" w14:textId="77777777" w:rsidR="00802E99" w:rsidRPr="00F60168" w:rsidRDefault="00802E99" w:rsidP="002B7D83">
      <w:pPr>
        <w:pBdr>
          <w:top w:val="single" w:sz="4" w:space="1" w:color="auto"/>
          <w:left w:val="single" w:sz="4" w:space="4" w:color="auto"/>
          <w:bottom w:val="single" w:sz="4" w:space="1" w:color="auto"/>
          <w:right w:val="single" w:sz="4" w:space="4" w:color="auto"/>
        </w:pBdr>
        <w:rPr>
          <w:rFonts w:ascii="Arial" w:hAnsi="Arial" w:cs="Arial"/>
          <w:color w:val="000000"/>
          <w:szCs w:val="24"/>
        </w:rPr>
      </w:pPr>
      <w:r w:rsidRPr="00F60168">
        <w:rPr>
          <w:rFonts w:ascii="Arial" w:hAnsi="Arial" w:cs="Arial"/>
          <w:color w:val="000000"/>
          <w:szCs w:val="24"/>
        </w:rPr>
        <w:t>As at 1 July 2017, RiskCover insured 137 agencies. At 30 June 2018, RiskCover now insures 11</w:t>
      </w:r>
      <w:r>
        <w:rPr>
          <w:rFonts w:ascii="Arial" w:hAnsi="Arial" w:cs="Arial"/>
          <w:color w:val="000000"/>
          <w:szCs w:val="24"/>
        </w:rPr>
        <w:t>1</w:t>
      </w:r>
      <w:r w:rsidRPr="00F60168">
        <w:rPr>
          <w:rFonts w:ascii="Arial" w:hAnsi="Arial" w:cs="Arial"/>
          <w:color w:val="000000"/>
          <w:szCs w:val="24"/>
        </w:rPr>
        <w:t xml:space="preserve"> agencies.</w:t>
      </w:r>
    </w:p>
    <w:p w14:paraId="7D25C3AE" w14:textId="77777777" w:rsidR="00802E99" w:rsidRPr="00F60168" w:rsidRDefault="00802E99" w:rsidP="002B7D83">
      <w:pPr>
        <w:pBdr>
          <w:top w:val="single" w:sz="4" w:space="1" w:color="auto"/>
          <w:left w:val="single" w:sz="4" w:space="4" w:color="auto"/>
          <w:bottom w:val="single" w:sz="4" w:space="1" w:color="auto"/>
          <w:right w:val="single" w:sz="4" w:space="4" w:color="auto"/>
        </w:pBdr>
        <w:rPr>
          <w:rFonts w:ascii="Arial" w:hAnsi="Arial" w:cs="Arial"/>
          <w:color w:val="000000"/>
          <w:szCs w:val="24"/>
        </w:rPr>
      </w:pPr>
    </w:p>
    <w:p w14:paraId="2CD0F5BB" w14:textId="77777777" w:rsidR="00802E99" w:rsidRDefault="00802E99" w:rsidP="002B7D83">
      <w:pPr>
        <w:pBdr>
          <w:top w:val="single" w:sz="4" w:space="1" w:color="auto"/>
          <w:left w:val="single" w:sz="4" w:space="4" w:color="auto"/>
          <w:bottom w:val="single" w:sz="4" w:space="1" w:color="auto"/>
          <w:right w:val="single" w:sz="4" w:space="4" w:color="auto"/>
        </w:pBdr>
        <w:rPr>
          <w:rFonts w:ascii="Arial" w:hAnsi="Arial" w:cs="Arial"/>
          <w:color w:val="000000"/>
          <w:szCs w:val="24"/>
        </w:rPr>
      </w:pPr>
      <w:r w:rsidRPr="00F60168">
        <w:rPr>
          <w:rFonts w:ascii="Arial" w:hAnsi="Arial" w:cs="Arial"/>
          <w:color w:val="000000"/>
          <w:szCs w:val="24"/>
        </w:rPr>
        <w:t xml:space="preserve">During 2018, RiskCover engaged with the agencies impacted by the MOG changes, </w:t>
      </w:r>
      <w:r>
        <w:rPr>
          <w:rFonts w:ascii="Arial" w:hAnsi="Arial" w:cs="Arial"/>
          <w:color w:val="000000"/>
          <w:szCs w:val="24"/>
        </w:rPr>
        <w:t>to identify and understand the impact</w:t>
      </w:r>
      <w:r w:rsidRPr="00F60168">
        <w:rPr>
          <w:rFonts w:ascii="Arial" w:hAnsi="Arial" w:cs="Arial"/>
          <w:color w:val="000000"/>
          <w:szCs w:val="24"/>
        </w:rPr>
        <w:t xml:space="preserve"> to</w:t>
      </w:r>
      <w:r>
        <w:rPr>
          <w:rFonts w:ascii="Arial" w:hAnsi="Arial" w:cs="Arial"/>
          <w:color w:val="000000"/>
          <w:szCs w:val="24"/>
        </w:rPr>
        <w:t xml:space="preserve"> their</w:t>
      </w:r>
      <w:r w:rsidRPr="00F60168">
        <w:rPr>
          <w:rFonts w:ascii="Arial" w:hAnsi="Arial" w:cs="Arial"/>
          <w:color w:val="000000"/>
          <w:szCs w:val="24"/>
        </w:rPr>
        <w:t xml:space="preserve"> insurance cover. </w:t>
      </w:r>
    </w:p>
    <w:p w14:paraId="676FC2CD" w14:textId="77777777" w:rsidR="00802E99" w:rsidRDefault="00802E99" w:rsidP="002B7D83">
      <w:pPr>
        <w:pBdr>
          <w:top w:val="single" w:sz="4" w:space="1" w:color="auto"/>
          <w:left w:val="single" w:sz="4" w:space="4" w:color="auto"/>
          <w:bottom w:val="single" w:sz="4" w:space="1" w:color="auto"/>
          <w:right w:val="single" w:sz="4" w:space="4" w:color="auto"/>
        </w:pBdr>
        <w:rPr>
          <w:rFonts w:ascii="Arial" w:hAnsi="Arial" w:cs="Arial"/>
          <w:color w:val="000000"/>
          <w:szCs w:val="24"/>
        </w:rPr>
      </w:pPr>
    </w:p>
    <w:p w14:paraId="45911155" w14:textId="77777777" w:rsidR="00802E99" w:rsidRDefault="00802E99" w:rsidP="002B7D83">
      <w:pPr>
        <w:pBdr>
          <w:top w:val="single" w:sz="4" w:space="1" w:color="auto"/>
          <w:left w:val="single" w:sz="4" w:space="4" w:color="auto"/>
          <w:bottom w:val="single" w:sz="4" w:space="1" w:color="auto"/>
          <w:right w:val="single" w:sz="4" w:space="4" w:color="auto"/>
        </w:pBdr>
        <w:rPr>
          <w:rFonts w:ascii="Arial" w:hAnsi="Arial" w:cs="Arial"/>
          <w:color w:val="000000"/>
          <w:szCs w:val="24"/>
        </w:rPr>
      </w:pPr>
      <w:r w:rsidRPr="00F60168">
        <w:rPr>
          <w:rFonts w:ascii="Arial" w:hAnsi="Arial" w:cs="Arial"/>
          <w:color w:val="000000"/>
          <w:szCs w:val="24"/>
        </w:rPr>
        <w:t xml:space="preserve">RiskCover ensured cover was </w:t>
      </w:r>
      <w:r>
        <w:rPr>
          <w:rFonts w:ascii="Arial" w:hAnsi="Arial" w:cs="Arial"/>
          <w:color w:val="000000"/>
          <w:szCs w:val="24"/>
        </w:rPr>
        <w:t>in place</w:t>
      </w:r>
      <w:r w:rsidRPr="00F60168">
        <w:rPr>
          <w:rFonts w:ascii="Arial" w:hAnsi="Arial" w:cs="Arial"/>
          <w:color w:val="000000"/>
          <w:szCs w:val="24"/>
        </w:rPr>
        <w:t xml:space="preserve"> for each new entity, recalculated insurance premiums </w:t>
      </w:r>
      <w:r>
        <w:rPr>
          <w:rFonts w:ascii="Arial" w:hAnsi="Arial" w:cs="Arial"/>
          <w:color w:val="000000"/>
          <w:szCs w:val="24"/>
        </w:rPr>
        <w:t>for</w:t>
      </w:r>
      <w:r w:rsidRPr="00F60168">
        <w:rPr>
          <w:rFonts w:ascii="Arial" w:hAnsi="Arial" w:cs="Arial"/>
          <w:color w:val="000000"/>
          <w:szCs w:val="24"/>
        </w:rPr>
        <w:t xml:space="preserve"> the new entities, developed new reports for entities and made the required system changes. Significant efforts were also made to ensure agency Directors and Officers Liability covers were amended with the private market to ensure continuity of cover.</w:t>
      </w:r>
    </w:p>
    <w:p w14:paraId="6952C211" w14:textId="77777777" w:rsidR="00802E99" w:rsidRPr="00CF644F" w:rsidRDefault="00802E99" w:rsidP="00802E99">
      <w:pPr>
        <w:rPr>
          <w:rFonts w:ascii="Arial" w:hAnsi="Arial" w:cs="Arial"/>
          <w:color w:val="000000"/>
          <w:szCs w:val="24"/>
        </w:rPr>
      </w:pPr>
    </w:p>
    <w:p w14:paraId="26EBFE5D" w14:textId="77777777" w:rsidR="00802E99" w:rsidRPr="00CF644F" w:rsidRDefault="00802E99" w:rsidP="00802E99">
      <w:pPr>
        <w:rPr>
          <w:rFonts w:ascii="Arial" w:hAnsi="Arial" w:cs="Arial"/>
          <w:b/>
          <w:color w:val="000000"/>
          <w:sz w:val="28"/>
          <w:szCs w:val="28"/>
        </w:rPr>
      </w:pPr>
      <w:r w:rsidRPr="00CF644F">
        <w:rPr>
          <w:rFonts w:ascii="Arial" w:hAnsi="Arial" w:cs="Arial"/>
          <w:b/>
          <w:color w:val="000000"/>
          <w:sz w:val="28"/>
          <w:szCs w:val="28"/>
        </w:rPr>
        <w:t>Liabilities</w:t>
      </w:r>
    </w:p>
    <w:p w14:paraId="4689F6BF" w14:textId="77777777" w:rsidR="00802E99" w:rsidRDefault="00802E99" w:rsidP="00802E99">
      <w:pPr>
        <w:rPr>
          <w:rFonts w:ascii="Arial" w:hAnsi="Arial" w:cs="Arial"/>
          <w:color w:val="000000"/>
          <w:szCs w:val="24"/>
        </w:rPr>
      </w:pPr>
      <w:r w:rsidRPr="00CF644F">
        <w:rPr>
          <w:rFonts w:ascii="Arial" w:hAnsi="Arial" w:cs="Arial"/>
          <w:color w:val="000000"/>
          <w:szCs w:val="24"/>
        </w:rPr>
        <w:t>The outstanding claims liability for</w:t>
      </w:r>
      <w:r>
        <w:rPr>
          <w:rFonts w:ascii="Arial" w:hAnsi="Arial" w:cs="Arial"/>
          <w:color w:val="000000"/>
          <w:szCs w:val="24"/>
        </w:rPr>
        <w:t xml:space="preserve"> the</w:t>
      </w:r>
      <w:r w:rsidRPr="00CF644F">
        <w:rPr>
          <w:rFonts w:ascii="Arial" w:hAnsi="Arial" w:cs="Arial"/>
          <w:color w:val="000000"/>
          <w:szCs w:val="24"/>
        </w:rPr>
        <w:t xml:space="preserve"> RiskCover</w:t>
      </w:r>
      <w:r>
        <w:rPr>
          <w:rFonts w:ascii="Arial" w:hAnsi="Arial" w:cs="Arial"/>
          <w:color w:val="000000"/>
          <w:szCs w:val="24"/>
        </w:rPr>
        <w:t xml:space="preserve"> Fund</w:t>
      </w:r>
      <w:r w:rsidRPr="00CF644F">
        <w:rPr>
          <w:rFonts w:ascii="Arial" w:hAnsi="Arial" w:cs="Arial"/>
          <w:color w:val="000000"/>
          <w:szCs w:val="24"/>
        </w:rPr>
        <w:t xml:space="preserve"> declined by $</w:t>
      </w:r>
      <w:r>
        <w:rPr>
          <w:rFonts w:ascii="Arial" w:hAnsi="Arial" w:cs="Arial"/>
          <w:color w:val="000000"/>
          <w:szCs w:val="24"/>
        </w:rPr>
        <w:t>36.2</w:t>
      </w:r>
      <w:r w:rsidRPr="00CF644F">
        <w:rPr>
          <w:rFonts w:ascii="Arial" w:hAnsi="Arial" w:cs="Arial"/>
          <w:color w:val="000000"/>
          <w:szCs w:val="24"/>
        </w:rPr>
        <w:t xml:space="preserve"> million in 201</w:t>
      </w:r>
      <w:r>
        <w:rPr>
          <w:rFonts w:ascii="Arial" w:hAnsi="Arial" w:cs="Arial"/>
          <w:color w:val="000000"/>
          <w:szCs w:val="24"/>
        </w:rPr>
        <w:t>8</w:t>
      </w:r>
      <w:r w:rsidRPr="00CF644F">
        <w:rPr>
          <w:rFonts w:ascii="Arial" w:hAnsi="Arial" w:cs="Arial"/>
          <w:color w:val="000000"/>
          <w:szCs w:val="24"/>
        </w:rPr>
        <w:t xml:space="preserve"> to </w:t>
      </w:r>
      <w:r>
        <w:rPr>
          <w:rFonts w:ascii="Arial" w:hAnsi="Arial" w:cs="Arial"/>
          <w:color w:val="000000"/>
          <w:szCs w:val="24"/>
        </w:rPr>
        <w:t>$533.1 million</w:t>
      </w:r>
      <w:r w:rsidRPr="00CF644F">
        <w:rPr>
          <w:rFonts w:ascii="Arial" w:hAnsi="Arial" w:cs="Arial"/>
          <w:color w:val="000000"/>
          <w:szCs w:val="24"/>
        </w:rPr>
        <w:t xml:space="preserve"> at 30 June 201</w:t>
      </w:r>
      <w:r>
        <w:rPr>
          <w:rFonts w:ascii="Arial" w:hAnsi="Arial" w:cs="Arial"/>
          <w:color w:val="000000"/>
          <w:szCs w:val="24"/>
        </w:rPr>
        <w:t>8</w:t>
      </w:r>
      <w:r w:rsidRPr="00CF644F">
        <w:rPr>
          <w:rFonts w:ascii="Arial" w:hAnsi="Arial" w:cs="Arial"/>
          <w:color w:val="000000"/>
          <w:szCs w:val="24"/>
        </w:rPr>
        <w:t xml:space="preserve">. This decline is </w:t>
      </w:r>
      <w:r>
        <w:rPr>
          <w:rFonts w:ascii="Arial" w:hAnsi="Arial" w:cs="Arial"/>
          <w:color w:val="000000"/>
          <w:szCs w:val="24"/>
        </w:rPr>
        <w:t xml:space="preserve">principally </w:t>
      </w:r>
      <w:r w:rsidRPr="00CF644F">
        <w:rPr>
          <w:rFonts w:ascii="Arial" w:hAnsi="Arial" w:cs="Arial"/>
          <w:color w:val="000000"/>
          <w:szCs w:val="24"/>
        </w:rPr>
        <w:t xml:space="preserve">due to </w:t>
      </w:r>
      <w:r>
        <w:rPr>
          <w:rFonts w:ascii="Arial" w:hAnsi="Arial" w:cs="Arial"/>
          <w:color w:val="000000"/>
          <w:szCs w:val="24"/>
        </w:rPr>
        <w:t>295 more claims being finalised this year, compared to 2017, as RiskCover staff continue to increase their focus on the timely management and resolution of claim, which therefore leaves fewer future claims to pay. There were also reductions in the estimated cost of claims received in prior years which reduced RiskCover liabilities in 2018.</w:t>
      </w:r>
    </w:p>
    <w:p w14:paraId="35CBE9BC" w14:textId="77777777" w:rsidR="00802E99" w:rsidRDefault="00802E99" w:rsidP="00802E99">
      <w:pPr>
        <w:rPr>
          <w:rFonts w:ascii="Arial" w:hAnsi="Arial" w:cs="Arial"/>
          <w:color w:val="000000"/>
          <w:szCs w:val="24"/>
        </w:rPr>
      </w:pPr>
    </w:p>
    <w:p w14:paraId="6AD29DCC" w14:textId="77777777" w:rsidR="00802E99" w:rsidRDefault="00802E99" w:rsidP="00802E99">
      <w:pPr>
        <w:rPr>
          <w:rFonts w:ascii="Arial" w:hAnsi="Arial" w:cs="Arial"/>
          <w:color w:val="000000"/>
          <w:szCs w:val="24"/>
        </w:rPr>
      </w:pPr>
      <w:r w:rsidRPr="00CF644F">
        <w:rPr>
          <w:rFonts w:ascii="Arial" w:hAnsi="Arial" w:cs="Arial"/>
          <w:color w:val="000000"/>
          <w:szCs w:val="24"/>
        </w:rPr>
        <w:t xml:space="preserve">The improvement in the outstanding claims liability position was led by the workers’ compensation and </w:t>
      </w:r>
      <w:r>
        <w:rPr>
          <w:rFonts w:ascii="Arial" w:hAnsi="Arial" w:cs="Arial"/>
          <w:color w:val="000000"/>
          <w:szCs w:val="24"/>
        </w:rPr>
        <w:t>liability</w:t>
      </w:r>
      <w:r w:rsidRPr="00CF644F">
        <w:rPr>
          <w:rFonts w:ascii="Arial" w:hAnsi="Arial" w:cs="Arial"/>
          <w:color w:val="000000"/>
          <w:szCs w:val="24"/>
        </w:rPr>
        <w:t xml:space="preserve"> insurance classes.</w:t>
      </w:r>
      <w:r>
        <w:rPr>
          <w:rFonts w:ascii="Arial" w:hAnsi="Arial" w:cs="Arial"/>
          <w:color w:val="000000"/>
          <w:szCs w:val="24"/>
        </w:rPr>
        <w:t xml:space="preserve"> </w:t>
      </w:r>
      <w:r w:rsidRPr="00CF644F">
        <w:rPr>
          <w:rFonts w:ascii="Arial" w:hAnsi="Arial" w:cs="Arial"/>
          <w:color w:val="000000"/>
          <w:szCs w:val="24"/>
        </w:rPr>
        <w:t>Workers’ compensation outstanding claims liabilities represent $</w:t>
      </w:r>
      <w:r>
        <w:rPr>
          <w:rFonts w:ascii="Arial" w:hAnsi="Arial" w:cs="Arial"/>
          <w:color w:val="000000"/>
          <w:szCs w:val="24"/>
        </w:rPr>
        <w:t>284.8</w:t>
      </w:r>
      <w:r w:rsidRPr="00CF644F">
        <w:rPr>
          <w:rFonts w:ascii="Arial" w:hAnsi="Arial" w:cs="Arial"/>
          <w:color w:val="000000"/>
          <w:szCs w:val="24"/>
        </w:rPr>
        <w:t xml:space="preserve"> million</w:t>
      </w:r>
      <w:r>
        <w:rPr>
          <w:rFonts w:ascii="Arial" w:hAnsi="Arial" w:cs="Arial"/>
          <w:color w:val="000000"/>
          <w:szCs w:val="24"/>
        </w:rPr>
        <w:t xml:space="preserve"> or 53.4% </w:t>
      </w:r>
      <w:r w:rsidRPr="00CF644F">
        <w:rPr>
          <w:rFonts w:ascii="Arial" w:hAnsi="Arial" w:cs="Arial"/>
          <w:color w:val="000000"/>
          <w:szCs w:val="24"/>
        </w:rPr>
        <w:t xml:space="preserve">of </w:t>
      </w:r>
      <w:proofErr w:type="spellStart"/>
      <w:r w:rsidRPr="00CF644F">
        <w:rPr>
          <w:rFonts w:ascii="Arial" w:hAnsi="Arial" w:cs="Arial"/>
          <w:color w:val="000000"/>
          <w:szCs w:val="24"/>
        </w:rPr>
        <w:t>RiskCover’s</w:t>
      </w:r>
      <w:proofErr w:type="spellEnd"/>
      <w:r w:rsidRPr="00CF644F">
        <w:rPr>
          <w:rFonts w:ascii="Arial" w:hAnsi="Arial" w:cs="Arial"/>
          <w:color w:val="000000"/>
          <w:szCs w:val="24"/>
        </w:rPr>
        <w:t xml:space="preserve"> 201</w:t>
      </w:r>
      <w:r>
        <w:rPr>
          <w:rFonts w:ascii="Arial" w:hAnsi="Arial" w:cs="Arial"/>
          <w:color w:val="000000"/>
          <w:szCs w:val="24"/>
        </w:rPr>
        <w:t>8</w:t>
      </w:r>
      <w:r w:rsidRPr="00CF644F">
        <w:rPr>
          <w:rFonts w:ascii="Arial" w:hAnsi="Arial" w:cs="Arial"/>
          <w:color w:val="000000"/>
          <w:szCs w:val="24"/>
        </w:rPr>
        <w:t xml:space="preserve"> outstanding claims liability. </w:t>
      </w:r>
    </w:p>
    <w:p w14:paraId="2CFC8668" w14:textId="77777777" w:rsidR="00802E99" w:rsidRDefault="00802E99" w:rsidP="00802E99">
      <w:pPr>
        <w:rPr>
          <w:rFonts w:ascii="Arial" w:hAnsi="Arial" w:cs="Arial"/>
          <w:color w:val="000000"/>
          <w:szCs w:val="24"/>
        </w:rPr>
      </w:pPr>
    </w:p>
    <w:p w14:paraId="6EBD21D0" w14:textId="77777777" w:rsidR="00802E99" w:rsidRDefault="00802E99" w:rsidP="00802E99">
      <w:pPr>
        <w:rPr>
          <w:rFonts w:ascii="Arial" w:hAnsi="Arial" w:cs="Arial"/>
          <w:color w:val="000000"/>
          <w:szCs w:val="24"/>
        </w:rPr>
      </w:pPr>
      <w:r w:rsidRPr="00954A5D">
        <w:rPr>
          <w:rFonts w:ascii="Arial" w:hAnsi="Arial" w:cs="Arial"/>
          <w:color w:val="000000"/>
          <w:szCs w:val="24"/>
        </w:rPr>
        <w:t xml:space="preserve">The outstanding claims liability position has consistently reduced </w:t>
      </w:r>
      <w:r>
        <w:rPr>
          <w:rFonts w:ascii="Arial" w:hAnsi="Arial" w:cs="Arial"/>
          <w:color w:val="000000"/>
          <w:szCs w:val="24"/>
        </w:rPr>
        <w:t xml:space="preserve">in </w:t>
      </w:r>
      <w:r w:rsidRPr="00954A5D">
        <w:rPr>
          <w:rFonts w:ascii="Arial" w:hAnsi="Arial" w:cs="Arial"/>
          <w:color w:val="000000"/>
          <w:szCs w:val="24"/>
        </w:rPr>
        <w:t>each of the past five years, having reduced 21% since 2013 when the balance was $678.2 million.</w:t>
      </w:r>
    </w:p>
    <w:p w14:paraId="68C72730" w14:textId="77777777" w:rsidR="00802E99" w:rsidRDefault="00802E99" w:rsidP="00802E99">
      <w:pPr>
        <w:autoSpaceDE w:val="0"/>
        <w:autoSpaceDN w:val="0"/>
        <w:adjustRightInd w:val="0"/>
        <w:jc w:val="left"/>
        <w:rPr>
          <w:rFonts w:ascii="Tahoma" w:hAnsi="Tahoma" w:cs="Tahoma"/>
          <w:color w:val="000000"/>
          <w:sz w:val="20"/>
          <w:lang w:eastAsia="en-AU"/>
        </w:rPr>
      </w:pPr>
    </w:p>
    <w:p w14:paraId="3B375BBE" w14:textId="77777777" w:rsidR="00802E99" w:rsidRPr="00DE443E" w:rsidRDefault="00802E99" w:rsidP="00802E99">
      <w:pPr>
        <w:autoSpaceDE w:val="0"/>
        <w:autoSpaceDN w:val="0"/>
        <w:adjustRightInd w:val="0"/>
        <w:jc w:val="left"/>
        <w:rPr>
          <w:rFonts w:ascii="Arial" w:hAnsi="Arial" w:cs="Arial"/>
          <w:color w:val="000000"/>
          <w:szCs w:val="24"/>
          <w:lang w:eastAsia="en-AU"/>
        </w:rPr>
      </w:pPr>
      <w:r w:rsidRPr="00DE443E">
        <w:rPr>
          <w:rFonts w:ascii="Arial" w:hAnsi="Arial" w:cs="Arial"/>
          <w:color w:val="000000"/>
          <w:szCs w:val="24"/>
          <w:lang w:eastAsia="en-AU"/>
        </w:rPr>
        <w:t>Agencies insured by the RiskCover fund paid their lowest insurance collective premium in 2018 compared to the last five years. Gross written premium received from agencies was $299.8 million in 2018, whereas gross written premiums have varied</w:t>
      </w:r>
      <w:r>
        <w:rPr>
          <w:rFonts w:ascii="Arial" w:hAnsi="Arial" w:cs="Arial"/>
          <w:color w:val="000000"/>
          <w:szCs w:val="24"/>
          <w:lang w:eastAsia="en-AU"/>
        </w:rPr>
        <w:t xml:space="preserve"> between $308.1 million and $314.1</w:t>
      </w:r>
      <w:r w:rsidRPr="00DE443E">
        <w:rPr>
          <w:rFonts w:ascii="Arial" w:hAnsi="Arial" w:cs="Arial"/>
          <w:color w:val="000000"/>
          <w:szCs w:val="24"/>
          <w:lang w:eastAsia="en-AU"/>
        </w:rPr>
        <w:t xml:space="preserve"> million since 2013. This is a great outcome for agencies as it means their insurance premiums are at the most affordable levels in five years.</w:t>
      </w:r>
    </w:p>
    <w:p w14:paraId="55C752CD" w14:textId="77777777" w:rsidR="00802E99" w:rsidRPr="00DE443E" w:rsidRDefault="00802E99" w:rsidP="00802E99">
      <w:pPr>
        <w:autoSpaceDE w:val="0"/>
        <w:autoSpaceDN w:val="0"/>
        <w:adjustRightInd w:val="0"/>
        <w:jc w:val="left"/>
        <w:rPr>
          <w:rFonts w:ascii="Arial" w:hAnsi="Arial" w:cs="Arial"/>
          <w:color w:val="000000"/>
          <w:szCs w:val="24"/>
          <w:lang w:eastAsia="en-AU"/>
        </w:rPr>
      </w:pPr>
    </w:p>
    <w:p w14:paraId="5AC066F3" w14:textId="77777777" w:rsidR="00802E99" w:rsidRPr="00DE443E" w:rsidRDefault="00802E99" w:rsidP="00802E99">
      <w:pPr>
        <w:rPr>
          <w:rFonts w:ascii="Arial" w:hAnsi="Arial" w:cs="Arial"/>
          <w:color w:val="000000"/>
          <w:szCs w:val="24"/>
        </w:rPr>
      </w:pPr>
      <w:r w:rsidRPr="00DE443E">
        <w:rPr>
          <w:rFonts w:ascii="Arial" w:hAnsi="Arial" w:cs="Arial"/>
          <w:color w:val="000000"/>
          <w:szCs w:val="24"/>
          <w:lang w:eastAsia="en-AU"/>
        </w:rPr>
        <w:t>We have also been able to deliver that outcome for agencies while increasing the return delivered to our shareholder, the State Government.</w:t>
      </w:r>
    </w:p>
    <w:p w14:paraId="223A685F" w14:textId="77777777" w:rsidR="00802E99" w:rsidRDefault="00802E99" w:rsidP="00802E99">
      <w:pPr>
        <w:rPr>
          <w:rFonts w:ascii="Arial" w:hAnsi="Arial" w:cs="Arial"/>
          <w:color w:val="000000"/>
          <w:szCs w:val="24"/>
        </w:rPr>
      </w:pPr>
    </w:p>
    <w:p w14:paraId="35C2D429" w14:textId="77777777" w:rsidR="00802E99" w:rsidRPr="00F60168" w:rsidRDefault="00802E99" w:rsidP="00802E99">
      <w:pPr>
        <w:rPr>
          <w:rFonts w:ascii="Arial" w:hAnsi="Arial" w:cs="Arial"/>
          <w:b/>
          <w:color w:val="000000"/>
          <w:sz w:val="28"/>
          <w:szCs w:val="28"/>
        </w:rPr>
      </w:pPr>
      <w:r w:rsidRPr="00F60168">
        <w:rPr>
          <w:rFonts w:ascii="Arial" w:hAnsi="Arial" w:cs="Arial"/>
          <w:b/>
          <w:color w:val="000000"/>
          <w:sz w:val="28"/>
          <w:szCs w:val="28"/>
        </w:rPr>
        <w:t>Shareholder Return</w:t>
      </w:r>
    </w:p>
    <w:p w14:paraId="0E5205F5" w14:textId="77777777" w:rsidR="00802E99" w:rsidRDefault="00802E99" w:rsidP="00802E99">
      <w:pPr>
        <w:rPr>
          <w:rFonts w:ascii="Arial" w:hAnsi="Arial" w:cs="Arial"/>
          <w:color w:val="000000"/>
          <w:szCs w:val="24"/>
        </w:rPr>
      </w:pPr>
      <w:r>
        <w:rPr>
          <w:rFonts w:ascii="Arial" w:hAnsi="Arial" w:cs="Arial"/>
          <w:color w:val="000000"/>
          <w:szCs w:val="24"/>
        </w:rPr>
        <w:t>In 2017, it was agreed with the Department of Treasury that RiskCover would return capital to the Consolidated Account of Government in the event that it had funds in excess of its 135% solvency target.</w:t>
      </w:r>
    </w:p>
    <w:p w14:paraId="7BBB5268" w14:textId="77777777" w:rsidR="00802E99" w:rsidRDefault="00802E99" w:rsidP="00802E99">
      <w:pPr>
        <w:rPr>
          <w:rFonts w:ascii="Arial" w:hAnsi="Arial" w:cs="Arial"/>
          <w:color w:val="000000"/>
          <w:szCs w:val="24"/>
        </w:rPr>
      </w:pPr>
    </w:p>
    <w:p w14:paraId="5C5547C8" w14:textId="77777777" w:rsidR="00802E99" w:rsidRDefault="00802E99" w:rsidP="00802E99">
      <w:pPr>
        <w:rPr>
          <w:rFonts w:ascii="Arial" w:hAnsi="Arial" w:cs="Arial"/>
          <w:color w:val="000000"/>
          <w:szCs w:val="24"/>
        </w:rPr>
      </w:pPr>
      <w:r>
        <w:rPr>
          <w:rFonts w:ascii="Arial" w:hAnsi="Arial" w:cs="Arial"/>
          <w:color w:val="000000"/>
          <w:szCs w:val="24"/>
        </w:rPr>
        <w:lastRenderedPageBreak/>
        <w:t xml:space="preserve">The solvency of the RiskCover Fund at 30 June 2018 was 169%. The solvency level reduced to 135% after providing for a return of capital of </w:t>
      </w:r>
      <w:r w:rsidRPr="00CF644F">
        <w:rPr>
          <w:rFonts w:ascii="Arial" w:hAnsi="Arial" w:cs="Arial"/>
          <w:color w:val="000000"/>
          <w:szCs w:val="24"/>
        </w:rPr>
        <w:t>$</w:t>
      </w:r>
      <w:r>
        <w:rPr>
          <w:rFonts w:ascii="Arial" w:hAnsi="Arial" w:cs="Arial"/>
          <w:color w:val="000000"/>
          <w:szCs w:val="24"/>
        </w:rPr>
        <w:t xml:space="preserve">162.3 </w:t>
      </w:r>
      <w:r w:rsidRPr="00CF644F">
        <w:rPr>
          <w:rFonts w:ascii="Arial" w:hAnsi="Arial" w:cs="Arial"/>
          <w:color w:val="000000"/>
          <w:szCs w:val="24"/>
        </w:rPr>
        <w:t>million</w:t>
      </w:r>
      <w:r>
        <w:rPr>
          <w:rFonts w:ascii="Arial" w:hAnsi="Arial" w:cs="Arial"/>
          <w:color w:val="000000"/>
          <w:szCs w:val="24"/>
        </w:rPr>
        <w:t xml:space="preserve">. This represented a $64.6 million increase in shareholder return compared to $97.7 million returned in 2017. </w:t>
      </w:r>
    </w:p>
    <w:p w14:paraId="4EAFA1FE" w14:textId="77777777" w:rsidR="00802E99" w:rsidRDefault="00802E99" w:rsidP="00802E99">
      <w:pPr>
        <w:rPr>
          <w:rFonts w:ascii="Arial" w:hAnsi="Arial" w:cs="Arial"/>
          <w:color w:val="000000"/>
          <w:szCs w:val="24"/>
        </w:rPr>
      </w:pPr>
    </w:p>
    <w:p w14:paraId="42E65B0D" w14:textId="77777777" w:rsidR="00802E99" w:rsidRPr="00CF644F" w:rsidRDefault="00802E99" w:rsidP="00802E99">
      <w:pPr>
        <w:rPr>
          <w:rFonts w:ascii="Arial" w:hAnsi="Arial" w:cs="Arial"/>
          <w:color w:val="000000"/>
          <w:szCs w:val="24"/>
          <w:lang w:val="en-US"/>
        </w:rPr>
      </w:pPr>
      <w:r w:rsidRPr="00CF644F">
        <w:rPr>
          <w:rFonts w:ascii="Arial" w:hAnsi="Arial" w:cs="Arial"/>
          <w:color w:val="000000"/>
          <w:szCs w:val="24"/>
        </w:rPr>
        <w:t>Th</w:t>
      </w:r>
      <w:r>
        <w:rPr>
          <w:rFonts w:ascii="Arial" w:hAnsi="Arial" w:cs="Arial"/>
          <w:color w:val="000000"/>
          <w:szCs w:val="24"/>
        </w:rPr>
        <w:t xml:space="preserve">e final </w:t>
      </w:r>
      <w:r w:rsidRPr="00CF644F">
        <w:rPr>
          <w:rFonts w:ascii="Arial" w:hAnsi="Arial" w:cs="Arial"/>
          <w:color w:val="000000"/>
          <w:szCs w:val="24"/>
        </w:rPr>
        <w:t>solvency position</w:t>
      </w:r>
      <w:r>
        <w:rPr>
          <w:rFonts w:ascii="Arial" w:hAnsi="Arial" w:cs="Arial"/>
          <w:color w:val="000000"/>
          <w:szCs w:val="24"/>
        </w:rPr>
        <w:t>, after future payments,</w:t>
      </w:r>
      <w:r w:rsidRPr="00CF644F">
        <w:rPr>
          <w:rFonts w:ascii="Arial" w:hAnsi="Arial" w:cs="Arial"/>
          <w:color w:val="000000"/>
          <w:szCs w:val="24"/>
        </w:rPr>
        <w:t xml:space="preserve"> </w:t>
      </w:r>
      <w:r>
        <w:rPr>
          <w:rFonts w:ascii="Arial" w:hAnsi="Arial" w:cs="Arial"/>
          <w:color w:val="000000"/>
          <w:szCs w:val="24"/>
        </w:rPr>
        <w:t xml:space="preserve">following the return of capital </w:t>
      </w:r>
      <w:r w:rsidRPr="00CF644F">
        <w:rPr>
          <w:rFonts w:ascii="Arial" w:hAnsi="Arial" w:cs="Arial"/>
          <w:color w:val="000000"/>
          <w:szCs w:val="24"/>
        </w:rPr>
        <w:t>enables RiskCover to maintain a prudential reserve</w:t>
      </w:r>
      <w:r w:rsidRPr="00CF644F">
        <w:rPr>
          <w:rFonts w:ascii="Arial" w:eastAsiaTheme="minorHAnsi" w:hAnsi="Arial" w:cs="Arial"/>
          <w:color w:val="000000"/>
          <w:szCs w:val="24"/>
          <w:lang w:val="en-US" w:eastAsia="en-AU"/>
        </w:rPr>
        <w:t xml:space="preserve"> </w:t>
      </w:r>
      <w:r w:rsidRPr="00CF644F">
        <w:rPr>
          <w:rFonts w:ascii="Arial" w:hAnsi="Arial" w:cs="Arial"/>
          <w:color w:val="000000"/>
          <w:szCs w:val="24"/>
          <w:lang w:val="en-US"/>
        </w:rPr>
        <w:t>of $</w:t>
      </w:r>
      <w:r>
        <w:rPr>
          <w:rFonts w:ascii="Arial" w:hAnsi="Arial" w:cs="Arial"/>
          <w:color w:val="000000"/>
          <w:szCs w:val="24"/>
          <w:lang w:val="en-US"/>
        </w:rPr>
        <w:t>61.5</w:t>
      </w:r>
      <w:r w:rsidRPr="00CF644F">
        <w:rPr>
          <w:rFonts w:ascii="Arial" w:hAnsi="Arial" w:cs="Arial"/>
          <w:color w:val="000000"/>
          <w:szCs w:val="24"/>
          <w:lang w:val="en-US"/>
        </w:rPr>
        <w:t xml:space="preserve"> million and protect the RiskCover Fund against circumstances such as a one-off large event, multiple large events in any one cover period, or events covered by the Fund for which reinsurance has not been obtained or is unobtainable.</w:t>
      </w:r>
      <w:r w:rsidRPr="00CF644F">
        <w:rPr>
          <w:rFonts w:ascii="Arial" w:eastAsiaTheme="minorHAnsi" w:hAnsi="Arial" w:cs="Arial"/>
          <w:color w:val="000000"/>
          <w:szCs w:val="24"/>
          <w:lang w:val="en-US" w:eastAsia="en-AU"/>
        </w:rPr>
        <w:t xml:space="preserve"> </w:t>
      </w:r>
    </w:p>
    <w:p w14:paraId="1A3FCA08" w14:textId="77777777" w:rsidR="00802E99" w:rsidRPr="00CF644F" w:rsidRDefault="00802E99" w:rsidP="00802E99">
      <w:pPr>
        <w:rPr>
          <w:rFonts w:ascii="Arial" w:hAnsi="Arial" w:cs="Arial"/>
          <w:color w:val="000000"/>
          <w:szCs w:val="24"/>
        </w:rPr>
      </w:pPr>
    </w:p>
    <w:p w14:paraId="1C365340" w14:textId="77777777" w:rsidR="00802E99" w:rsidRDefault="00802E99" w:rsidP="00802E99">
      <w:pPr>
        <w:rPr>
          <w:rFonts w:ascii="Arial" w:hAnsi="Arial" w:cs="Arial"/>
          <w:color w:val="000000"/>
          <w:szCs w:val="24"/>
        </w:rPr>
      </w:pPr>
      <w:r w:rsidRPr="00CF644F">
        <w:rPr>
          <w:rFonts w:ascii="Arial" w:hAnsi="Arial" w:cs="Arial"/>
          <w:color w:val="000000"/>
          <w:szCs w:val="24"/>
        </w:rPr>
        <w:t>As at 30 June 201</w:t>
      </w:r>
      <w:r>
        <w:rPr>
          <w:rFonts w:ascii="Arial" w:hAnsi="Arial" w:cs="Arial"/>
          <w:color w:val="000000"/>
          <w:szCs w:val="24"/>
        </w:rPr>
        <w:t>8</w:t>
      </w:r>
      <w:r w:rsidRPr="00CF644F">
        <w:rPr>
          <w:rFonts w:ascii="Arial" w:hAnsi="Arial" w:cs="Arial"/>
          <w:color w:val="000000"/>
          <w:szCs w:val="24"/>
        </w:rPr>
        <w:t xml:space="preserve">, </w:t>
      </w:r>
      <w:proofErr w:type="spellStart"/>
      <w:r w:rsidRPr="00CF644F">
        <w:rPr>
          <w:rFonts w:ascii="Arial" w:hAnsi="Arial" w:cs="Arial"/>
          <w:color w:val="000000"/>
          <w:szCs w:val="24"/>
        </w:rPr>
        <w:t>RiskCover’s</w:t>
      </w:r>
      <w:proofErr w:type="spellEnd"/>
      <w:r w:rsidRPr="00CF644F">
        <w:rPr>
          <w:rFonts w:ascii="Arial" w:hAnsi="Arial" w:cs="Arial"/>
          <w:color w:val="000000"/>
          <w:szCs w:val="24"/>
        </w:rPr>
        <w:t xml:space="preserve"> net assets total $282</w:t>
      </w:r>
      <w:r>
        <w:rPr>
          <w:rFonts w:ascii="Arial" w:hAnsi="Arial" w:cs="Arial"/>
          <w:color w:val="000000"/>
          <w:szCs w:val="24"/>
        </w:rPr>
        <w:t>.1</w:t>
      </w:r>
      <w:r w:rsidRPr="00CF644F">
        <w:rPr>
          <w:rFonts w:ascii="Arial" w:hAnsi="Arial" w:cs="Arial"/>
          <w:color w:val="000000"/>
          <w:szCs w:val="24"/>
        </w:rPr>
        <w:t xml:space="preserve"> million. This is </w:t>
      </w:r>
      <w:r>
        <w:rPr>
          <w:rFonts w:ascii="Arial" w:hAnsi="Arial" w:cs="Arial"/>
          <w:color w:val="000000"/>
          <w:szCs w:val="24"/>
        </w:rPr>
        <w:t>close to the $285.2</w:t>
      </w:r>
      <w:r w:rsidRPr="00CF644F">
        <w:rPr>
          <w:rFonts w:ascii="Arial" w:hAnsi="Arial" w:cs="Arial"/>
          <w:color w:val="000000"/>
          <w:szCs w:val="24"/>
        </w:rPr>
        <w:t xml:space="preserve"> million </w:t>
      </w:r>
      <w:r>
        <w:rPr>
          <w:rFonts w:ascii="Arial" w:hAnsi="Arial" w:cs="Arial"/>
          <w:color w:val="000000"/>
          <w:szCs w:val="24"/>
        </w:rPr>
        <w:t xml:space="preserve">of net assets recorded at </w:t>
      </w:r>
      <w:r w:rsidRPr="00CF644F">
        <w:rPr>
          <w:rFonts w:ascii="Arial" w:hAnsi="Arial" w:cs="Arial"/>
          <w:color w:val="000000"/>
          <w:szCs w:val="24"/>
        </w:rPr>
        <w:t>30 June 201</w:t>
      </w:r>
      <w:r>
        <w:rPr>
          <w:rFonts w:ascii="Arial" w:hAnsi="Arial" w:cs="Arial"/>
          <w:color w:val="000000"/>
          <w:szCs w:val="24"/>
        </w:rPr>
        <w:t>7</w:t>
      </w:r>
      <w:r w:rsidRPr="00CF644F">
        <w:rPr>
          <w:rFonts w:ascii="Arial" w:hAnsi="Arial" w:cs="Arial"/>
          <w:color w:val="000000"/>
          <w:szCs w:val="24"/>
        </w:rPr>
        <w:t>.</w:t>
      </w:r>
    </w:p>
    <w:p w14:paraId="6B247685" w14:textId="77777777" w:rsidR="00802E99" w:rsidRDefault="00802E99" w:rsidP="00802E99">
      <w:pPr>
        <w:rPr>
          <w:rFonts w:ascii="Arial" w:hAnsi="Arial" w:cs="Arial"/>
          <w:color w:val="000000"/>
          <w:szCs w:val="24"/>
        </w:rPr>
      </w:pPr>
    </w:p>
    <w:p w14:paraId="0215579D" w14:textId="77777777" w:rsidR="002B7D83" w:rsidRDefault="002B7D83" w:rsidP="00802E99">
      <w:pPr>
        <w:rPr>
          <w:rFonts w:ascii="Arial" w:hAnsi="Arial" w:cs="Arial"/>
          <w:color w:val="000000"/>
          <w:szCs w:val="24"/>
        </w:rPr>
      </w:pPr>
    </w:p>
    <w:p w14:paraId="07CECC13" w14:textId="77777777" w:rsidR="002B7D83" w:rsidRDefault="002B7D83" w:rsidP="00802E99">
      <w:pPr>
        <w:rPr>
          <w:rFonts w:ascii="Arial" w:hAnsi="Arial" w:cs="Arial"/>
          <w:color w:val="000000"/>
          <w:szCs w:val="24"/>
        </w:rPr>
      </w:pPr>
    </w:p>
    <w:p w14:paraId="2377BB8F" w14:textId="77777777" w:rsidR="002B7D83" w:rsidRDefault="002B7D83" w:rsidP="00802E99">
      <w:pPr>
        <w:rPr>
          <w:rFonts w:ascii="Arial" w:hAnsi="Arial" w:cs="Arial"/>
          <w:color w:val="000000"/>
          <w:szCs w:val="24"/>
        </w:rPr>
      </w:pPr>
    </w:p>
    <w:p w14:paraId="436313D1" w14:textId="77777777" w:rsidR="002B7D83" w:rsidRDefault="002B7D83" w:rsidP="00802E99">
      <w:pPr>
        <w:rPr>
          <w:rFonts w:ascii="Arial" w:hAnsi="Arial" w:cs="Arial"/>
          <w:color w:val="000000"/>
          <w:szCs w:val="24"/>
        </w:rPr>
      </w:pPr>
    </w:p>
    <w:p w14:paraId="4AFC0966" w14:textId="77777777" w:rsidR="002B7D83" w:rsidRDefault="002B7D83" w:rsidP="00802E99">
      <w:pPr>
        <w:rPr>
          <w:rFonts w:ascii="Arial" w:hAnsi="Arial" w:cs="Arial"/>
          <w:color w:val="000000"/>
          <w:szCs w:val="24"/>
        </w:rPr>
      </w:pPr>
    </w:p>
    <w:p w14:paraId="42016B0A" w14:textId="77777777" w:rsidR="002B7D83" w:rsidRDefault="002B7D83" w:rsidP="00802E99">
      <w:pPr>
        <w:rPr>
          <w:rFonts w:ascii="Arial" w:hAnsi="Arial" w:cs="Arial"/>
          <w:color w:val="000000"/>
          <w:szCs w:val="24"/>
        </w:rPr>
      </w:pPr>
    </w:p>
    <w:p w14:paraId="4B74486E" w14:textId="77777777" w:rsidR="002B7D83" w:rsidRDefault="002B7D83" w:rsidP="00802E99">
      <w:pPr>
        <w:rPr>
          <w:rFonts w:ascii="Arial" w:hAnsi="Arial" w:cs="Arial"/>
          <w:color w:val="000000"/>
          <w:szCs w:val="24"/>
        </w:rPr>
      </w:pPr>
    </w:p>
    <w:p w14:paraId="470B9015" w14:textId="77777777" w:rsidR="002B7D83" w:rsidRDefault="002B7D83" w:rsidP="00802E99">
      <w:pPr>
        <w:rPr>
          <w:rFonts w:ascii="Arial" w:hAnsi="Arial" w:cs="Arial"/>
          <w:color w:val="000000"/>
          <w:szCs w:val="24"/>
        </w:rPr>
      </w:pPr>
    </w:p>
    <w:p w14:paraId="21A35397" w14:textId="77777777" w:rsidR="002B7D83" w:rsidRDefault="002B7D83" w:rsidP="00802E99">
      <w:pPr>
        <w:rPr>
          <w:rFonts w:ascii="Arial" w:hAnsi="Arial" w:cs="Arial"/>
          <w:color w:val="000000"/>
          <w:szCs w:val="24"/>
        </w:rPr>
      </w:pPr>
    </w:p>
    <w:p w14:paraId="11CA9928" w14:textId="77777777" w:rsidR="002B7D83" w:rsidRDefault="002B7D83" w:rsidP="00802E99">
      <w:pPr>
        <w:rPr>
          <w:rFonts w:ascii="Arial" w:hAnsi="Arial" w:cs="Arial"/>
          <w:color w:val="000000"/>
          <w:szCs w:val="24"/>
        </w:rPr>
      </w:pPr>
    </w:p>
    <w:p w14:paraId="24624A15" w14:textId="77777777" w:rsidR="002B7D83" w:rsidRDefault="002B7D83" w:rsidP="00802E99">
      <w:pPr>
        <w:rPr>
          <w:rFonts w:ascii="Arial" w:hAnsi="Arial" w:cs="Arial"/>
          <w:color w:val="000000"/>
          <w:szCs w:val="24"/>
        </w:rPr>
      </w:pPr>
    </w:p>
    <w:p w14:paraId="69C0C418" w14:textId="77777777" w:rsidR="002B7D83" w:rsidRDefault="002B7D83" w:rsidP="00802E99">
      <w:pPr>
        <w:rPr>
          <w:rFonts w:ascii="Arial" w:hAnsi="Arial" w:cs="Arial"/>
          <w:color w:val="000000"/>
          <w:szCs w:val="24"/>
        </w:rPr>
      </w:pPr>
    </w:p>
    <w:p w14:paraId="232FBCF7" w14:textId="77777777" w:rsidR="002B7D83" w:rsidRDefault="002B7D83" w:rsidP="00802E99">
      <w:pPr>
        <w:rPr>
          <w:rFonts w:ascii="Arial" w:hAnsi="Arial" w:cs="Arial"/>
          <w:color w:val="000000"/>
          <w:szCs w:val="24"/>
        </w:rPr>
      </w:pPr>
    </w:p>
    <w:p w14:paraId="797106F3" w14:textId="77777777" w:rsidR="002B7D83" w:rsidRDefault="002B7D83" w:rsidP="00802E99">
      <w:pPr>
        <w:rPr>
          <w:rFonts w:ascii="Arial" w:hAnsi="Arial" w:cs="Arial"/>
          <w:color w:val="000000"/>
          <w:szCs w:val="24"/>
        </w:rPr>
      </w:pPr>
    </w:p>
    <w:p w14:paraId="00249377" w14:textId="77777777" w:rsidR="002B7D83" w:rsidRDefault="002B7D83" w:rsidP="00802E99">
      <w:pPr>
        <w:rPr>
          <w:rFonts w:ascii="Arial" w:hAnsi="Arial" w:cs="Arial"/>
          <w:color w:val="000000"/>
          <w:szCs w:val="24"/>
        </w:rPr>
      </w:pPr>
    </w:p>
    <w:p w14:paraId="1639E106" w14:textId="77777777" w:rsidR="002B7D83" w:rsidRDefault="002B7D83" w:rsidP="00802E99">
      <w:pPr>
        <w:rPr>
          <w:rFonts w:ascii="Arial" w:hAnsi="Arial" w:cs="Arial"/>
          <w:color w:val="000000"/>
          <w:szCs w:val="24"/>
        </w:rPr>
      </w:pPr>
    </w:p>
    <w:p w14:paraId="457A5DC6" w14:textId="77777777" w:rsidR="002B7D83" w:rsidRDefault="002B7D83" w:rsidP="00802E99">
      <w:pPr>
        <w:rPr>
          <w:rFonts w:ascii="Arial" w:hAnsi="Arial" w:cs="Arial"/>
          <w:color w:val="000000"/>
          <w:szCs w:val="24"/>
        </w:rPr>
      </w:pPr>
    </w:p>
    <w:p w14:paraId="026C5ECA" w14:textId="77777777" w:rsidR="002B7D83" w:rsidRDefault="002B7D83" w:rsidP="00802E99">
      <w:pPr>
        <w:rPr>
          <w:rFonts w:ascii="Arial" w:hAnsi="Arial" w:cs="Arial"/>
          <w:color w:val="000000"/>
          <w:szCs w:val="24"/>
        </w:rPr>
      </w:pPr>
    </w:p>
    <w:p w14:paraId="127D199E" w14:textId="77777777" w:rsidR="002B7D83" w:rsidRDefault="002B7D83" w:rsidP="00802E99">
      <w:pPr>
        <w:rPr>
          <w:rFonts w:ascii="Arial" w:hAnsi="Arial" w:cs="Arial"/>
          <w:color w:val="000000"/>
          <w:szCs w:val="24"/>
        </w:rPr>
      </w:pPr>
    </w:p>
    <w:p w14:paraId="644C78A6" w14:textId="77777777" w:rsidR="002B7D83" w:rsidRDefault="002B7D83" w:rsidP="00802E99">
      <w:pPr>
        <w:rPr>
          <w:rFonts w:ascii="Arial" w:hAnsi="Arial" w:cs="Arial"/>
          <w:color w:val="000000"/>
          <w:szCs w:val="24"/>
        </w:rPr>
      </w:pPr>
    </w:p>
    <w:p w14:paraId="64BD5643" w14:textId="77777777" w:rsidR="002B7D83" w:rsidRDefault="002B7D83" w:rsidP="00802E99">
      <w:pPr>
        <w:rPr>
          <w:rFonts w:ascii="Arial" w:hAnsi="Arial" w:cs="Arial"/>
          <w:color w:val="000000"/>
          <w:szCs w:val="24"/>
        </w:rPr>
      </w:pPr>
    </w:p>
    <w:p w14:paraId="4EA34000" w14:textId="77777777" w:rsidR="002B7D83" w:rsidRDefault="002B7D83" w:rsidP="00802E99">
      <w:pPr>
        <w:rPr>
          <w:rFonts w:ascii="Arial" w:hAnsi="Arial" w:cs="Arial"/>
          <w:color w:val="000000"/>
          <w:szCs w:val="24"/>
        </w:rPr>
      </w:pPr>
    </w:p>
    <w:p w14:paraId="67DB1CE9" w14:textId="77777777" w:rsidR="002B7D83" w:rsidRDefault="002B7D83" w:rsidP="00802E99">
      <w:pPr>
        <w:rPr>
          <w:rFonts w:ascii="Arial" w:hAnsi="Arial" w:cs="Arial"/>
          <w:color w:val="000000"/>
          <w:szCs w:val="24"/>
        </w:rPr>
      </w:pPr>
    </w:p>
    <w:p w14:paraId="5BF0F979" w14:textId="77777777" w:rsidR="002B7D83" w:rsidRDefault="002B7D83" w:rsidP="00802E99">
      <w:pPr>
        <w:rPr>
          <w:rFonts w:ascii="Arial" w:hAnsi="Arial" w:cs="Arial"/>
          <w:color w:val="000000"/>
          <w:szCs w:val="24"/>
        </w:rPr>
      </w:pPr>
    </w:p>
    <w:p w14:paraId="469F8733" w14:textId="77777777" w:rsidR="002B7D83" w:rsidRDefault="002B7D83" w:rsidP="00802E99">
      <w:pPr>
        <w:rPr>
          <w:rFonts w:ascii="Arial" w:hAnsi="Arial" w:cs="Arial"/>
          <w:color w:val="000000"/>
          <w:szCs w:val="24"/>
        </w:rPr>
      </w:pPr>
    </w:p>
    <w:p w14:paraId="71128D1C" w14:textId="77777777" w:rsidR="002B7D83" w:rsidRDefault="002B7D83" w:rsidP="00802E99">
      <w:pPr>
        <w:rPr>
          <w:rFonts w:ascii="Arial" w:hAnsi="Arial" w:cs="Arial"/>
          <w:color w:val="000000"/>
          <w:szCs w:val="24"/>
        </w:rPr>
      </w:pPr>
    </w:p>
    <w:p w14:paraId="6FBC665A" w14:textId="77777777" w:rsidR="002B7D83" w:rsidRDefault="002B7D83" w:rsidP="00802E99">
      <w:pPr>
        <w:rPr>
          <w:rFonts w:ascii="Arial" w:hAnsi="Arial" w:cs="Arial"/>
          <w:color w:val="000000"/>
          <w:szCs w:val="24"/>
        </w:rPr>
      </w:pPr>
    </w:p>
    <w:p w14:paraId="29AF7C37" w14:textId="77777777" w:rsidR="002B7D83" w:rsidRDefault="002B7D83" w:rsidP="00802E99">
      <w:pPr>
        <w:rPr>
          <w:rFonts w:ascii="Arial" w:hAnsi="Arial" w:cs="Arial"/>
          <w:color w:val="000000"/>
          <w:szCs w:val="24"/>
        </w:rPr>
      </w:pPr>
    </w:p>
    <w:p w14:paraId="4C3D04A6" w14:textId="77777777" w:rsidR="002B7D83" w:rsidRDefault="002B7D83" w:rsidP="00802E99">
      <w:pPr>
        <w:rPr>
          <w:rFonts w:ascii="Arial" w:hAnsi="Arial" w:cs="Arial"/>
          <w:color w:val="000000"/>
          <w:szCs w:val="24"/>
        </w:rPr>
      </w:pPr>
    </w:p>
    <w:p w14:paraId="5BE836C2" w14:textId="77777777" w:rsidR="002B7D83" w:rsidRDefault="002B7D83" w:rsidP="00802E99">
      <w:pPr>
        <w:rPr>
          <w:rFonts w:ascii="Arial" w:hAnsi="Arial" w:cs="Arial"/>
          <w:color w:val="000000"/>
          <w:szCs w:val="24"/>
        </w:rPr>
      </w:pPr>
    </w:p>
    <w:p w14:paraId="7689A43D" w14:textId="77777777" w:rsidR="002B7D83" w:rsidRDefault="002B7D83" w:rsidP="00802E99">
      <w:pPr>
        <w:rPr>
          <w:rFonts w:ascii="Arial" w:hAnsi="Arial" w:cs="Arial"/>
          <w:color w:val="000000"/>
          <w:szCs w:val="24"/>
        </w:rPr>
      </w:pPr>
    </w:p>
    <w:p w14:paraId="196EAA5B" w14:textId="77777777" w:rsidR="002B7D83" w:rsidRDefault="002B7D83" w:rsidP="00802E99">
      <w:pPr>
        <w:rPr>
          <w:rFonts w:ascii="Arial" w:hAnsi="Arial" w:cs="Arial"/>
          <w:color w:val="000000"/>
          <w:szCs w:val="24"/>
        </w:rPr>
      </w:pPr>
    </w:p>
    <w:p w14:paraId="458A11A4" w14:textId="77777777" w:rsidR="002B7D83" w:rsidRDefault="002B7D83" w:rsidP="00802E99">
      <w:pPr>
        <w:rPr>
          <w:rFonts w:ascii="Arial" w:hAnsi="Arial" w:cs="Arial"/>
          <w:color w:val="000000"/>
          <w:szCs w:val="24"/>
        </w:rPr>
      </w:pPr>
    </w:p>
    <w:p w14:paraId="5CD39D57" w14:textId="77777777" w:rsidR="002B7D83" w:rsidRDefault="002B7D83" w:rsidP="00802E99">
      <w:pPr>
        <w:rPr>
          <w:rFonts w:ascii="Arial" w:hAnsi="Arial" w:cs="Arial"/>
          <w:color w:val="000000"/>
          <w:szCs w:val="24"/>
        </w:rPr>
      </w:pPr>
    </w:p>
    <w:p w14:paraId="3D47E780" w14:textId="77777777" w:rsidR="002B7D83" w:rsidRDefault="002B7D83" w:rsidP="00802E99">
      <w:pPr>
        <w:rPr>
          <w:rFonts w:ascii="Arial" w:hAnsi="Arial" w:cs="Arial"/>
          <w:color w:val="000000"/>
          <w:szCs w:val="24"/>
        </w:rPr>
      </w:pPr>
    </w:p>
    <w:p w14:paraId="0A88EBA0" w14:textId="77777777" w:rsidR="002B7D83" w:rsidRDefault="002B7D83" w:rsidP="00802E99">
      <w:pPr>
        <w:rPr>
          <w:rFonts w:ascii="Arial" w:hAnsi="Arial" w:cs="Arial"/>
          <w:color w:val="000000"/>
          <w:szCs w:val="24"/>
        </w:rPr>
      </w:pPr>
    </w:p>
    <w:p w14:paraId="00627D17" w14:textId="327DEC6F" w:rsidR="002B7D83" w:rsidRDefault="002B7D83" w:rsidP="002B7D83">
      <w:pPr>
        <w:pStyle w:val="ARHeading3"/>
      </w:pPr>
      <w:r>
        <w:lastRenderedPageBreak/>
        <w:t xml:space="preserve">3.3.1 </w:t>
      </w:r>
      <w:proofErr w:type="spellStart"/>
      <w:r>
        <w:t>Riskcover</w:t>
      </w:r>
      <w:proofErr w:type="spellEnd"/>
    </w:p>
    <w:p w14:paraId="5D65919A" w14:textId="77777777" w:rsidR="002B7D83" w:rsidRDefault="002B7D83" w:rsidP="00802E99">
      <w:pPr>
        <w:rPr>
          <w:rFonts w:ascii="Arial" w:hAnsi="Arial" w:cs="Arial"/>
          <w:color w:val="000000"/>
          <w:szCs w:val="24"/>
        </w:rPr>
      </w:pPr>
    </w:p>
    <w:p w14:paraId="23E42941" w14:textId="030F6EAB" w:rsidR="002B7D83" w:rsidRDefault="002B7D83" w:rsidP="00802E99">
      <w:pPr>
        <w:rPr>
          <w:rFonts w:ascii="Arial" w:hAnsi="Arial" w:cs="Arial"/>
          <w:color w:val="000000"/>
          <w:szCs w:val="24"/>
        </w:rPr>
      </w:pPr>
      <w:r>
        <w:rPr>
          <w:rFonts w:ascii="Arial" w:hAnsi="Arial" w:cs="Arial"/>
          <w:color w:val="000000"/>
          <w:szCs w:val="24"/>
        </w:rPr>
        <w:t>The RiskCover Fund has a combination of efficiency and effectiveness KPIs to measure its performance against three outcomes.</w:t>
      </w:r>
    </w:p>
    <w:p w14:paraId="1C8FAE45" w14:textId="77777777" w:rsidR="002B7D83" w:rsidRDefault="002B7D83" w:rsidP="00802E99">
      <w:pPr>
        <w:rPr>
          <w:rFonts w:ascii="Arial" w:hAnsi="Arial" w:cs="Arial"/>
          <w:color w:val="000000"/>
          <w:szCs w:val="24"/>
        </w:rPr>
      </w:pPr>
    </w:p>
    <w:p w14:paraId="41C40F99" w14:textId="0B068931" w:rsidR="002B7D83" w:rsidRDefault="002B7D83" w:rsidP="00802E99">
      <w:pPr>
        <w:rPr>
          <w:rFonts w:ascii="Arial" w:hAnsi="Arial" w:cs="Arial"/>
          <w:b/>
          <w:color w:val="000000"/>
          <w:szCs w:val="24"/>
        </w:rPr>
      </w:pPr>
      <w:r>
        <w:rPr>
          <w:rFonts w:ascii="Arial" w:hAnsi="Arial" w:cs="Arial"/>
          <w:b/>
          <w:color w:val="000000"/>
          <w:szCs w:val="24"/>
        </w:rPr>
        <w:t>Outcome A – To ensure the Fund is fully funded</w:t>
      </w:r>
    </w:p>
    <w:p w14:paraId="705BC0F6" w14:textId="77777777" w:rsidR="002B7D83" w:rsidRDefault="002B7D83" w:rsidP="00802E99">
      <w:pPr>
        <w:rPr>
          <w:rFonts w:ascii="Arial" w:hAnsi="Arial" w:cs="Arial"/>
          <w:b/>
          <w:color w:val="000000"/>
          <w:szCs w:val="24"/>
        </w:rPr>
      </w:pPr>
    </w:p>
    <w:p w14:paraId="14C9DEF7" w14:textId="5CEF9230" w:rsidR="002B7D83" w:rsidRDefault="002B7D83" w:rsidP="00802E99">
      <w:pPr>
        <w:rPr>
          <w:rFonts w:ascii="Arial" w:hAnsi="Arial" w:cs="Arial"/>
          <w:b/>
          <w:color w:val="000000"/>
          <w:szCs w:val="24"/>
        </w:rPr>
      </w:pPr>
      <w:r>
        <w:rPr>
          <w:rFonts w:ascii="Arial" w:hAnsi="Arial" w:cs="Arial"/>
          <w:b/>
          <w:color w:val="000000"/>
          <w:szCs w:val="24"/>
        </w:rPr>
        <w:t>Effectiveness Performance Indicator</w:t>
      </w:r>
    </w:p>
    <w:p w14:paraId="1F7B6C1F" w14:textId="77777777" w:rsidR="002B7D83" w:rsidRDefault="002B7D83" w:rsidP="00802E99">
      <w:pPr>
        <w:rPr>
          <w:rFonts w:ascii="Arial" w:hAnsi="Arial" w:cs="Arial"/>
          <w:b/>
          <w:color w:val="000000"/>
          <w:szCs w:val="24"/>
        </w:rPr>
      </w:pPr>
    </w:p>
    <w:p w14:paraId="6DC82CBA" w14:textId="56B32479" w:rsidR="002B7D83" w:rsidRDefault="002B7D83" w:rsidP="00802E99">
      <w:pPr>
        <w:rPr>
          <w:rFonts w:ascii="Arial" w:hAnsi="Arial" w:cs="Arial"/>
          <w:b/>
          <w:color w:val="000000"/>
          <w:szCs w:val="24"/>
        </w:rPr>
      </w:pPr>
      <w:r>
        <w:rPr>
          <w:rFonts w:ascii="Arial" w:hAnsi="Arial" w:cs="Arial"/>
          <w:b/>
          <w:color w:val="000000"/>
          <w:szCs w:val="24"/>
        </w:rPr>
        <w:t>Solvency Level (%)</w:t>
      </w:r>
    </w:p>
    <w:p w14:paraId="61D95112" w14:textId="77777777" w:rsidR="002B7D83" w:rsidRDefault="002B7D83" w:rsidP="002B7D83">
      <w:r w:rsidRPr="002B7D83">
        <w:rPr>
          <w:rFonts w:ascii="Arial" w:hAnsi="Arial" w:cs="Arial"/>
          <w:color w:val="000000"/>
          <w:szCs w:val="24"/>
        </w:rPr>
        <w:t>This KPI calculates Total Assets as a percentage of Total Liabilities in the RiskCover Fund. This KPI measures the ability of the RiskCover Fund to meet its long-term financial obligations as they fall due.</w:t>
      </w:r>
      <w:r w:rsidRPr="002B7D83">
        <w:rPr>
          <w:rFonts w:ascii="Arial" w:hAnsi="Arial" w:cs="Arial"/>
          <w:color w:val="000000"/>
          <w:szCs w:val="24"/>
        </w:rPr>
        <w:tab/>
      </w:r>
      <w:r w:rsidRPr="002B7D83">
        <w:rPr>
          <w:rFonts w:ascii="Arial" w:hAnsi="Arial" w:cs="Arial"/>
          <w:color w:val="000000"/>
          <w:szCs w:val="24"/>
        </w:rPr>
        <w:tab/>
      </w:r>
      <w:r w:rsidRPr="002B7D83">
        <w:rPr>
          <w:rFonts w:ascii="Arial" w:hAnsi="Arial" w:cs="Arial"/>
          <w:color w:val="000000"/>
          <w:szCs w:val="24"/>
        </w:rPr>
        <w:tab/>
      </w:r>
      <w:r w:rsidRPr="002B7D83">
        <w:rPr>
          <w:rFonts w:ascii="Arial" w:hAnsi="Arial" w:cs="Arial"/>
          <w:color w:val="000000"/>
          <w:szCs w:val="24"/>
        </w:rPr>
        <w:tab/>
      </w:r>
      <w:r w:rsidRPr="002B7D83">
        <w:rPr>
          <w:rFonts w:ascii="Arial" w:hAnsi="Arial" w:cs="Arial"/>
          <w:color w:val="000000"/>
          <w:szCs w:val="24"/>
        </w:rPr>
        <w:tab/>
      </w:r>
      <w:r w:rsidRPr="002B7D83">
        <w:rPr>
          <w:rFonts w:ascii="Arial" w:hAnsi="Arial" w:cs="Arial"/>
          <w:color w:val="000000"/>
          <w:szCs w:val="24"/>
        </w:rPr>
        <w:tab/>
      </w:r>
      <w:r w:rsidRPr="002B7D83">
        <w:rPr>
          <w:rFonts w:ascii="Arial" w:hAnsi="Arial" w:cs="Arial"/>
          <w:color w:val="000000"/>
          <w:szCs w:val="24"/>
        </w:rPr>
        <w:tab/>
      </w:r>
      <w:r>
        <w:rPr>
          <w:noProof/>
          <w:lang w:eastAsia="en-AU"/>
        </w:rPr>
        <w:drawing>
          <wp:inline distT="0" distB="0" distL="0" distR="0" wp14:anchorId="603673C8" wp14:editId="3DF8ACA6">
            <wp:extent cx="5731510" cy="335978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359785"/>
                    </a:xfrm>
                    <a:prstGeom prst="rect">
                      <a:avLst/>
                    </a:prstGeom>
                  </pic:spPr>
                </pic:pic>
              </a:graphicData>
            </a:graphic>
          </wp:inline>
        </w:drawing>
      </w:r>
      <w:r w:rsidRPr="002B7D83">
        <w:t xml:space="preserve"> </w:t>
      </w:r>
    </w:p>
    <w:p w14:paraId="756F07F2" w14:textId="77777777" w:rsidR="002B7D83" w:rsidRDefault="002B7D83" w:rsidP="002B7D83"/>
    <w:p w14:paraId="3F90C740" w14:textId="77777777" w:rsidR="002B7D83" w:rsidRDefault="002B7D83" w:rsidP="002B7D83">
      <w:pPr>
        <w:rPr>
          <w:rFonts w:ascii="Arial" w:hAnsi="Arial" w:cs="Arial"/>
          <w:color w:val="000000"/>
          <w:szCs w:val="24"/>
        </w:rPr>
      </w:pPr>
      <w:r w:rsidRPr="002B7D83">
        <w:rPr>
          <w:rFonts w:ascii="Arial" w:hAnsi="Arial" w:cs="Arial"/>
          <w:b/>
          <w:color w:val="000000"/>
          <w:szCs w:val="24"/>
        </w:rPr>
        <w:t>Comment:</w:t>
      </w:r>
      <w:r>
        <w:rPr>
          <w:rFonts w:ascii="Arial" w:hAnsi="Arial" w:cs="Arial"/>
          <w:color w:val="000000"/>
          <w:szCs w:val="24"/>
        </w:rPr>
        <w:t xml:space="preserve"> </w:t>
      </w:r>
      <w:proofErr w:type="spellStart"/>
      <w:r w:rsidRPr="002B7D83">
        <w:rPr>
          <w:rFonts w:ascii="Arial" w:hAnsi="Arial" w:cs="Arial"/>
          <w:color w:val="000000"/>
          <w:szCs w:val="24"/>
        </w:rPr>
        <w:t>RiskCover’s</w:t>
      </w:r>
      <w:proofErr w:type="spellEnd"/>
      <w:r w:rsidRPr="002B7D83">
        <w:rPr>
          <w:rFonts w:ascii="Arial" w:hAnsi="Arial" w:cs="Arial"/>
          <w:color w:val="000000"/>
          <w:szCs w:val="24"/>
        </w:rPr>
        <w:t xml:space="preserve"> solvency level increased to 169% in 2018 which was higher than target (139.7%). It was agreed with the Department of Treasury that RiskCover would return capital to the Consolidated Account of Government in the event that it had funds in excess of its 135% solvency target. </w:t>
      </w:r>
      <w:proofErr w:type="spellStart"/>
      <w:r w:rsidRPr="002B7D83">
        <w:rPr>
          <w:rFonts w:ascii="Arial" w:hAnsi="Arial" w:cs="Arial"/>
          <w:color w:val="000000"/>
          <w:szCs w:val="24"/>
        </w:rPr>
        <w:t>RiskCover's</w:t>
      </w:r>
      <w:proofErr w:type="spellEnd"/>
      <w:r w:rsidRPr="002B7D83">
        <w:rPr>
          <w:rFonts w:ascii="Arial" w:hAnsi="Arial" w:cs="Arial"/>
          <w:color w:val="000000"/>
          <w:szCs w:val="24"/>
        </w:rPr>
        <w:t xml:space="preserve"> solvency subsequently reduced to 135% after providing for a return of capital of $162.3 million. This solvency position enables RiskCover to protect the RiskCover Fund against multiple large losses in any one cover period and for events which are not covered by reinsurance.</w:t>
      </w:r>
    </w:p>
    <w:p w14:paraId="09F6A2A7" w14:textId="77777777" w:rsidR="002B7D83" w:rsidRDefault="002B7D83" w:rsidP="002B7D83">
      <w:pPr>
        <w:rPr>
          <w:rFonts w:ascii="Arial" w:hAnsi="Arial" w:cs="Arial"/>
          <w:color w:val="000000"/>
          <w:szCs w:val="24"/>
        </w:rPr>
      </w:pPr>
    </w:p>
    <w:p w14:paraId="55CAA5AD" w14:textId="77777777" w:rsidR="002B7D83" w:rsidRDefault="002B7D83" w:rsidP="002B7D83">
      <w:pPr>
        <w:rPr>
          <w:rFonts w:ascii="Arial" w:hAnsi="Arial" w:cs="Arial"/>
          <w:b/>
          <w:color w:val="000000"/>
          <w:szCs w:val="24"/>
        </w:rPr>
      </w:pPr>
      <w:r>
        <w:rPr>
          <w:rFonts w:ascii="Arial" w:hAnsi="Arial" w:cs="Arial"/>
          <w:b/>
          <w:color w:val="000000"/>
          <w:szCs w:val="24"/>
        </w:rPr>
        <w:t>Efficiency Performance Indicators</w:t>
      </w:r>
    </w:p>
    <w:p w14:paraId="4E39F957" w14:textId="77777777" w:rsidR="002B7D83" w:rsidRDefault="002B7D83" w:rsidP="002B7D83">
      <w:pPr>
        <w:rPr>
          <w:rFonts w:ascii="Arial" w:hAnsi="Arial" w:cs="Arial"/>
          <w:b/>
          <w:color w:val="000000"/>
          <w:szCs w:val="24"/>
        </w:rPr>
      </w:pPr>
    </w:p>
    <w:p w14:paraId="59F6AF6A" w14:textId="66825C7F" w:rsidR="002B7D83" w:rsidRDefault="002B7D83" w:rsidP="002B7D83">
      <w:pPr>
        <w:rPr>
          <w:rFonts w:ascii="Arial" w:hAnsi="Arial" w:cs="Arial"/>
          <w:color w:val="000000"/>
          <w:szCs w:val="24"/>
        </w:rPr>
      </w:pPr>
      <w:r>
        <w:rPr>
          <w:rFonts w:ascii="Arial" w:hAnsi="Arial" w:cs="Arial"/>
          <w:b/>
          <w:color w:val="000000"/>
          <w:szCs w:val="24"/>
        </w:rPr>
        <w:t>Net Loss Ratio (%)</w:t>
      </w:r>
    </w:p>
    <w:p w14:paraId="67B452B7" w14:textId="46200434" w:rsidR="002B7D83" w:rsidRDefault="002B7D83" w:rsidP="00802E99">
      <w:pPr>
        <w:rPr>
          <w:rFonts w:ascii="Arial" w:hAnsi="Arial" w:cs="Arial"/>
          <w:color w:val="000000"/>
          <w:szCs w:val="24"/>
        </w:rPr>
      </w:pPr>
      <w:r>
        <w:rPr>
          <w:rFonts w:ascii="Arial" w:hAnsi="Arial" w:cs="Arial"/>
          <w:color w:val="000000"/>
          <w:szCs w:val="24"/>
        </w:rPr>
        <w:t xml:space="preserve">This KPI calculates net claims incurred (claims payments and movements in outstanding claims provision) as a percentage of net premium revenue. This KPI measures the sufficiency of premium revenue compared to the cost of claims incurred. A ratio below 100% indicates RiskCover received sufficient net premium revenue to </w:t>
      </w:r>
      <w:r>
        <w:rPr>
          <w:rFonts w:ascii="Arial" w:hAnsi="Arial" w:cs="Arial"/>
          <w:color w:val="000000"/>
          <w:szCs w:val="24"/>
        </w:rPr>
        <w:lastRenderedPageBreak/>
        <w:t>meet the net cost of claims incurred. A ratio greater than 100% indicates net premium revenue was insufficient to meet the net cost of claims incurred</w:t>
      </w:r>
      <w:r w:rsidR="00C3365E">
        <w:rPr>
          <w:rFonts w:ascii="Arial" w:hAnsi="Arial" w:cs="Arial"/>
          <w:color w:val="000000"/>
          <w:szCs w:val="24"/>
        </w:rPr>
        <w:t>.</w:t>
      </w:r>
    </w:p>
    <w:p w14:paraId="720BB4B2" w14:textId="5DB42166" w:rsidR="00C3365E" w:rsidRDefault="00C3365E" w:rsidP="00802E99">
      <w:pPr>
        <w:rPr>
          <w:rFonts w:ascii="Arial" w:hAnsi="Arial" w:cs="Arial"/>
          <w:color w:val="000000"/>
          <w:szCs w:val="24"/>
        </w:rPr>
      </w:pPr>
      <w:r>
        <w:rPr>
          <w:noProof/>
          <w:lang w:eastAsia="en-AU"/>
        </w:rPr>
        <mc:AlternateContent>
          <mc:Choice Requires="wps">
            <w:drawing>
              <wp:anchor distT="0" distB="0" distL="114300" distR="114300" simplePos="0" relativeHeight="251677696" behindDoc="0" locked="0" layoutInCell="1" allowOverlap="1" wp14:anchorId="55AB05E1" wp14:editId="798AB551">
                <wp:simplePos x="0" y="0"/>
                <wp:positionH relativeFrom="column">
                  <wp:posOffset>972273</wp:posOffset>
                </wp:positionH>
                <wp:positionV relativeFrom="paragraph">
                  <wp:posOffset>872707</wp:posOffset>
                </wp:positionV>
                <wp:extent cx="4653023" cy="0"/>
                <wp:effectExtent l="0" t="0" r="33655" b="19050"/>
                <wp:wrapNone/>
                <wp:docPr id="60" name="Straight Connector 17"/>
                <wp:cNvGraphicFramePr/>
                <a:graphic xmlns:a="http://schemas.openxmlformats.org/drawingml/2006/main">
                  <a:graphicData uri="http://schemas.microsoft.com/office/word/2010/wordprocessingShape">
                    <wps:wsp>
                      <wps:cNvCnPr/>
                      <wps:spPr bwMode="auto">
                        <a:xfrm>
                          <a:off x="0" y="0"/>
                          <a:ext cx="4653023" cy="0"/>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3916DCEB" id="Straight Connector 17"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5pt,68.7pt" to="442.9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" filled="t" fillcolor="#ff9" strokecolor="#c59f15" strokeweight="2pt"/>
            </w:pict>
          </mc:Fallback>
        </mc:AlternateContent>
      </w:r>
      <w:r>
        <w:rPr>
          <w:noProof/>
          <w:lang w:eastAsia="en-AU"/>
        </w:rPr>
        <w:drawing>
          <wp:inline distT="0" distB="0" distL="0" distR="0" wp14:anchorId="33076736" wp14:editId="4624099F">
            <wp:extent cx="5731510" cy="327850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5386C0" w14:textId="404CCF29" w:rsidR="00C3365E" w:rsidRDefault="00C3365E" w:rsidP="00802E99">
      <w:pPr>
        <w:rPr>
          <w:rFonts w:ascii="Arial" w:hAnsi="Arial" w:cs="Arial"/>
          <w:color w:val="000000"/>
          <w:szCs w:val="24"/>
        </w:rPr>
      </w:pPr>
    </w:p>
    <w:p w14:paraId="0B07E657" w14:textId="1C4A8447" w:rsidR="002B7D83" w:rsidRDefault="00C3365E" w:rsidP="00C3365E">
      <w:pPr>
        <w:rPr>
          <w:rFonts w:ascii="Arial" w:hAnsi="Arial" w:cs="Arial"/>
          <w:color w:val="000000"/>
          <w:szCs w:val="24"/>
        </w:rPr>
      </w:pPr>
      <w:r w:rsidRPr="00C3365E">
        <w:rPr>
          <w:rFonts w:ascii="Arial" w:hAnsi="Arial" w:cs="Arial"/>
          <w:b/>
          <w:color w:val="000000"/>
          <w:szCs w:val="24"/>
        </w:rPr>
        <w:t>Comment:</w:t>
      </w:r>
      <w:r>
        <w:rPr>
          <w:rFonts w:ascii="Arial" w:hAnsi="Arial" w:cs="Arial"/>
          <w:color w:val="000000"/>
          <w:szCs w:val="24"/>
        </w:rPr>
        <w:t xml:space="preserve"> </w:t>
      </w:r>
      <w:r w:rsidRPr="00C3365E">
        <w:rPr>
          <w:rFonts w:ascii="Arial" w:hAnsi="Arial" w:cs="Arial"/>
          <w:color w:val="000000"/>
          <w:szCs w:val="24"/>
        </w:rPr>
        <w:t>The net loss ratio is better than target due to lower net claims incurred of $65.9 million (26.9%) partly offset by lower net premium revenue of $10.3 million (3.6%). The majority of these variances are due to improved claims experience in the workers' compensation ($33.6 million) and liability ($31.4 million) classes of insurance. The lower net claims incurred in the workers' compensation class leads to premium adjustments (refunds to agencies) which reduce net premium revenue.</w:t>
      </w:r>
    </w:p>
    <w:p w14:paraId="71C155D5" w14:textId="77777777" w:rsidR="00C3365E" w:rsidRDefault="00C3365E" w:rsidP="00C3365E">
      <w:pPr>
        <w:rPr>
          <w:rFonts w:ascii="Arial" w:hAnsi="Arial" w:cs="Arial"/>
          <w:color w:val="000000"/>
          <w:szCs w:val="24"/>
        </w:rPr>
      </w:pPr>
    </w:p>
    <w:p w14:paraId="321A79E5" w14:textId="32FA94CD" w:rsidR="00C3365E" w:rsidRDefault="00C3365E" w:rsidP="00C3365E">
      <w:pPr>
        <w:rPr>
          <w:rFonts w:ascii="Arial" w:hAnsi="Arial" w:cs="Arial"/>
          <w:b/>
          <w:color w:val="000000"/>
          <w:szCs w:val="24"/>
        </w:rPr>
      </w:pPr>
      <w:r>
        <w:rPr>
          <w:rFonts w:ascii="Arial" w:hAnsi="Arial" w:cs="Arial"/>
          <w:b/>
          <w:color w:val="000000"/>
          <w:szCs w:val="24"/>
        </w:rPr>
        <w:t>Net Expense Ratio (%)</w:t>
      </w:r>
    </w:p>
    <w:p w14:paraId="2FCA4345" w14:textId="03599333" w:rsidR="00C3365E" w:rsidRPr="00C3365E" w:rsidRDefault="00C3365E" w:rsidP="00C3365E">
      <w:pPr>
        <w:rPr>
          <w:rFonts w:ascii="Arial" w:hAnsi="Arial" w:cs="Arial"/>
          <w:color w:val="000000"/>
          <w:szCs w:val="24"/>
        </w:rPr>
      </w:pPr>
      <w:r w:rsidRPr="00C3365E">
        <w:rPr>
          <w:rFonts w:ascii="Arial" w:hAnsi="Arial" w:cs="Arial"/>
          <w:color w:val="000000"/>
          <w:szCs w:val="24"/>
        </w:rPr>
        <w:t>This KPI calculates underwriting and administration expenses as a percentage of net premium revenue. This KPI is a measure of operational efficiency. A lower expense ratio would contribute to higher profits or lower losses being generated.</w:t>
      </w:r>
      <w:r w:rsidRPr="00C3365E">
        <w:rPr>
          <w:rFonts w:ascii="Arial" w:hAnsi="Arial" w:cs="Arial"/>
          <w:color w:val="000000"/>
          <w:szCs w:val="24"/>
        </w:rPr>
        <w:tab/>
      </w:r>
      <w:r w:rsidRPr="00C3365E">
        <w:rPr>
          <w:rFonts w:ascii="Arial" w:hAnsi="Arial" w:cs="Arial"/>
          <w:color w:val="000000"/>
          <w:szCs w:val="24"/>
        </w:rPr>
        <w:tab/>
      </w:r>
      <w:r>
        <w:rPr>
          <w:noProof/>
          <w:lang w:eastAsia="en-AU"/>
        </w:rPr>
        <w:lastRenderedPageBreak/>
        <w:drawing>
          <wp:inline distT="0" distB="0" distL="0" distR="0" wp14:anchorId="1E70B737" wp14:editId="022456AA">
            <wp:extent cx="5731510" cy="319151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7D838DF9" w14:textId="57E7B1E8" w:rsidR="00C3365E" w:rsidRPr="00C3365E" w:rsidRDefault="00C3365E" w:rsidP="00C3365E">
      <w:pPr>
        <w:rPr>
          <w:rFonts w:ascii="Arial" w:hAnsi="Arial" w:cs="Arial"/>
          <w:b/>
          <w:color w:val="000000"/>
          <w:szCs w:val="24"/>
        </w:rPr>
      </w:pPr>
      <w:r>
        <w:rPr>
          <w:rFonts w:ascii="Arial" w:hAnsi="Arial" w:cs="Arial"/>
          <w:b/>
          <w:color w:val="000000"/>
          <w:szCs w:val="24"/>
        </w:rPr>
        <w:t xml:space="preserve">Comment: </w:t>
      </w:r>
      <w:r w:rsidRPr="00C3365E">
        <w:rPr>
          <w:rFonts w:ascii="Arial" w:hAnsi="Arial" w:cs="Arial"/>
          <w:color w:val="000000"/>
          <w:szCs w:val="24"/>
        </w:rPr>
        <w:t>The net expense ratio at 11.9% is slightly better than the target of 12% due to underwriting and administration expenses being $1.4 million (4.2%) below target. This was partly offset by net premium revenue being $10.3 million (3.6%) lower than target as premium adjustments (refunds to agencies) were provided for in the accounts to reflect the improving trend in claims costs mainly for workers' compensation. The improvement in this class resulted in a $7.3 million premium adjustment (refunds to agencies) attributable to current and prior years.</w:t>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p>
    <w:p w14:paraId="6EA0FE99" w14:textId="77777777" w:rsidR="00C3365E" w:rsidRDefault="00C3365E" w:rsidP="00C3365E">
      <w:pPr>
        <w:rPr>
          <w:rFonts w:ascii="Arial" w:hAnsi="Arial" w:cs="Arial"/>
          <w:b/>
          <w:color w:val="000000"/>
          <w:szCs w:val="24"/>
        </w:rPr>
      </w:pPr>
      <w:r>
        <w:rPr>
          <w:rFonts w:ascii="Arial" w:hAnsi="Arial" w:cs="Arial"/>
          <w:b/>
          <w:color w:val="000000"/>
          <w:szCs w:val="24"/>
        </w:rPr>
        <w:t>Net Combined Ratio (%)</w:t>
      </w:r>
    </w:p>
    <w:p w14:paraId="2C758A6B" w14:textId="77777777" w:rsidR="00C3365E" w:rsidRPr="00C3365E" w:rsidRDefault="00C3365E" w:rsidP="00C3365E">
      <w:pPr>
        <w:rPr>
          <w:rFonts w:ascii="Arial" w:hAnsi="Arial" w:cs="Arial"/>
          <w:color w:val="000000"/>
          <w:szCs w:val="24"/>
        </w:rPr>
      </w:pPr>
      <w:r w:rsidRPr="00C3365E">
        <w:rPr>
          <w:rFonts w:ascii="Arial" w:hAnsi="Arial" w:cs="Arial"/>
          <w:color w:val="000000"/>
          <w:szCs w:val="24"/>
        </w:rPr>
        <w:t>This KPI calculates underwriting and administration expenses and net claims incurred as a percentage of net premium revenue. This KPI is a measure of underwriting profitability used to indicate how well the Fund is performing. It is the combined result of the Net Loss Ratio and the Net Expense Ratio. A ratio below 100% indicates that an underwriting profit has been made, whereas a ratio above 100% indicates an underwriting loss.</w:t>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344BEC36" w14:textId="09EC6056" w:rsidR="00C3365E" w:rsidRPr="00C3365E" w:rsidRDefault="00C3365E" w:rsidP="00C3365E">
      <w:pPr>
        <w:rPr>
          <w:rFonts w:ascii="Arial" w:hAnsi="Arial" w:cs="Arial"/>
          <w:b/>
          <w:color w:val="000000"/>
          <w:szCs w:val="24"/>
        </w:rPr>
      </w:pPr>
      <w:r>
        <w:rPr>
          <w:noProof/>
          <w:lang w:eastAsia="en-AU"/>
        </w:rPr>
        <w:lastRenderedPageBreak/>
        <mc:AlternateContent>
          <mc:Choice Requires="wps">
            <w:drawing>
              <wp:anchor distT="0" distB="0" distL="114300" distR="114300" simplePos="0" relativeHeight="251679744" behindDoc="0" locked="0" layoutInCell="1" allowOverlap="1" wp14:anchorId="73E359B1" wp14:editId="0958DD22">
                <wp:simplePos x="0" y="0"/>
                <wp:positionH relativeFrom="column">
                  <wp:posOffset>972273</wp:posOffset>
                </wp:positionH>
                <wp:positionV relativeFrom="paragraph">
                  <wp:posOffset>771813</wp:posOffset>
                </wp:positionV>
                <wp:extent cx="4641449" cy="3463"/>
                <wp:effectExtent l="0" t="0" r="26035" b="34925"/>
                <wp:wrapNone/>
                <wp:docPr id="63" name="Straight Connector 5"/>
                <wp:cNvGraphicFramePr/>
                <a:graphic xmlns:a="http://schemas.openxmlformats.org/drawingml/2006/main">
                  <a:graphicData uri="http://schemas.microsoft.com/office/word/2010/wordprocessingShape">
                    <wps:wsp>
                      <wps:cNvCnPr/>
                      <wps:spPr bwMode="auto">
                        <a:xfrm flipV="1">
                          <a:off x="0" y="0"/>
                          <a:ext cx="4641449" cy="3463"/>
                        </a:xfrm>
                        <a:prstGeom prst="line">
                          <a:avLst/>
                        </a:prstGeom>
                        <a:solidFill>
                          <a:srgbClr val="FFFF99"/>
                        </a:solidFill>
                        <a:ln w="25400" cap="flat" cmpd="sng" algn="ctr">
                          <a:solidFill>
                            <a:srgbClr val="C59F15"/>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79817008" id="Straight Connector 5" o:spid="_x0000_s1026" style="position:absolute;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5pt,60.75pt" to="44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" filled="t" fillcolor="#ff9" strokecolor="#c59f15" strokeweight="2pt"/>
            </w:pict>
          </mc:Fallback>
        </mc:AlternateContent>
      </w:r>
      <w:r>
        <w:rPr>
          <w:noProof/>
          <w:lang w:eastAsia="en-AU"/>
        </w:rPr>
        <w:drawing>
          <wp:inline distT="0" distB="0" distL="0" distR="0" wp14:anchorId="21D9025A" wp14:editId="401DA31A">
            <wp:extent cx="5731510" cy="318325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C3365E">
        <w:rPr>
          <w:noProof/>
          <w:lang w:eastAsia="en-AU"/>
        </w:rPr>
        <w:t xml:space="preserve"> </w:t>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p>
    <w:p w14:paraId="5FB19614" w14:textId="39097EF8" w:rsidR="00C3365E" w:rsidRDefault="00C3365E" w:rsidP="00C3365E">
      <w:pPr>
        <w:rPr>
          <w:rFonts w:ascii="Arial" w:hAnsi="Arial" w:cs="Arial"/>
          <w:b/>
          <w:color w:val="000000"/>
          <w:szCs w:val="24"/>
        </w:rPr>
      </w:pPr>
      <w:r>
        <w:rPr>
          <w:rFonts w:ascii="Arial" w:hAnsi="Arial" w:cs="Arial"/>
          <w:b/>
          <w:color w:val="000000"/>
          <w:szCs w:val="24"/>
        </w:rPr>
        <w:t xml:space="preserve">Comment: </w:t>
      </w:r>
      <w:r w:rsidRPr="00C3365E">
        <w:rPr>
          <w:rFonts w:ascii="Arial" w:hAnsi="Arial" w:cs="Arial"/>
          <w:color w:val="000000"/>
          <w:szCs w:val="24"/>
        </w:rPr>
        <w:t>The net combined ratio of 76.9% is better than target and prior years, and reflects an underwriting profit of $63.5 million compared to a budgeted profit of $6.4 million. Total underwriting and administration expenses were $67.4 million (24.2%) below target largely due to a positive movement in outstanding claims of $54.6 million (296.4%) and gross claims paid being $7.3m (3.2%) lower than target. The movement in outstanding claims was most prominent in the workers' compensation and liability classes of insurance with a combined favourable movement of $44.7 million instead of an anticipated adverse movement of $18.4 million. This favourable movement was a result of improved claims experience in these lines of insurance.</w:t>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p>
    <w:p w14:paraId="3C58CAD5" w14:textId="0AFA6C40" w:rsidR="00C3365E" w:rsidRDefault="00C3365E" w:rsidP="00C3365E">
      <w:pPr>
        <w:rPr>
          <w:rFonts w:ascii="Arial" w:hAnsi="Arial" w:cs="Arial"/>
          <w:b/>
          <w:color w:val="000000"/>
          <w:szCs w:val="24"/>
        </w:rPr>
      </w:pPr>
      <w:r w:rsidRPr="00C3365E">
        <w:rPr>
          <w:rFonts w:ascii="Arial" w:hAnsi="Arial" w:cs="Arial"/>
          <w:b/>
          <w:color w:val="000000"/>
          <w:szCs w:val="24"/>
        </w:rPr>
        <w:t>Outcome B – To provide sustainable fund contribution (premiums) to agencies insured</w:t>
      </w:r>
    </w:p>
    <w:p w14:paraId="44178E25" w14:textId="77777777" w:rsidR="00C3365E" w:rsidRDefault="00C3365E" w:rsidP="00C3365E">
      <w:pPr>
        <w:rPr>
          <w:rFonts w:ascii="Arial" w:hAnsi="Arial" w:cs="Arial"/>
          <w:b/>
          <w:color w:val="000000"/>
          <w:szCs w:val="24"/>
        </w:rPr>
      </w:pPr>
    </w:p>
    <w:p w14:paraId="56B4F270" w14:textId="15B5314F" w:rsidR="00C3365E" w:rsidRDefault="00C3365E" w:rsidP="00C3365E">
      <w:pPr>
        <w:rPr>
          <w:rFonts w:ascii="Arial" w:hAnsi="Arial" w:cs="Arial"/>
          <w:b/>
          <w:color w:val="000000"/>
          <w:szCs w:val="24"/>
        </w:rPr>
      </w:pPr>
      <w:r>
        <w:rPr>
          <w:rFonts w:ascii="Arial" w:hAnsi="Arial" w:cs="Arial"/>
          <w:b/>
          <w:color w:val="000000"/>
          <w:szCs w:val="24"/>
        </w:rPr>
        <w:t>Effectiveness Performance Indicator</w:t>
      </w:r>
    </w:p>
    <w:p w14:paraId="76C59A16" w14:textId="77777777" w:rsidR="00C3365E" w:rsidRDefault="00C3365E" w:rsidP="00C3365E">
      <w:pPr>
        <w:rPr>
          <w:rFonts w:ascii="Arial" w:hAnsi="Arial" w:cs="Arial"/>
          <w:b/>
          <w:color w:val="000000"/>
          <w:szCs w:val="24"/>
        </w:rPr>
      </w:pPr>
    </w:p>
    <w:p w14:paraId="63316C27" w14:textId="39C44D5C" w:rsidR="00C3365E" w:rsidRDefault="00C3365E" w:rsidP="00C3365E">
      <w:pPr>
        <w:rPr>
          <w:rFonts w:ascii="Arial" w:hAnsi="Arial" w:cs="Arial"/>
          <w:b/>
          <w:color w:val="000000"/>
          <w:szCs w:val="24"/>
        </w:rPr>
      </w:pPr>
      <w:r>
        <w:rPr>
          <w:rFonts w:ascii="Arial" w:hAnsi="Arial" w:cs="Arial"/>
          <w:b/>
          <w:color w:val="000000"/>
          <w:szCs w:val="24"/>
        </w:rPr>
        <w:t>Workers’ Compensation Claims Incurred per $100 Wage Roll ($)</w:t>
      </w:r>
    </w:p>
    <w:p w14:paraId="10D04177" w14:textId="77777777" w:rsidR="00C3365E" w:rsidRDefault="00C3365E" w:rsidP="00C3365E">
      <w:pPr>
        <w:rPr>
          <w:rFonts w:ascii="Arial" w:hAnsi="Arial" w:cs="Arial"/>
          <w:color w:val="000000"/>
          <w:szCs w:val="24"/>
        </w:rPr>
      </w:pPr>
      <w:r w:rsidRPr="00C3365E">
        <w:rPr>
          <w:rFonts w:ascii="Arial" w:hAnsi="Arial" w:cs="Arial"/>
          <w:color w:val="000000"/>
          <w:szCs w:val="24"/>
        </w:rPr>
        <w:t>This KPI calculates the actuarial forecast cost of claims incurred in the renewal period adjusted to their present day value x 100 divided by the total wages declared by all clients, adjusted to their present day value. This KPI measures the effectiveness of the RiskCover Division in keeping the cost of workers’ compensation claims low.</w:t>
      </w:r>
      <w:r w:rsidRPr="00C3365E">
        <w:rPr>
          <w:rFonts w:ascii="Arial" w:hAnsi="Arial" w:cs="Arial"/>
          <w:color w:val="000000"/>
          <w:szCs w:val="24"/>
        </w:rPr>
        <w:lastRenderedPageBreak/>
        <w:tab/>
      </w:r>
      <w:r>
        <w:rPr>
          <w:noProof/>
          <w:lang w:eastAsia="en-AU"/>
        </w:rPr>
        <w:drawing>
          <wp:inline distT="0" distB="0" distL="0" distR="0" wp14:anchorId="47F425B9" wp14:editId="75D5AC93">
            <wp:extent cx="5731510" cy="3183255"/>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255665" w14:textId="77777777" w:rsidR="00C3365E" w:rsidRDefault="00C3365E" w:rsidP="00C3365E">
      <w:pPr>
        <w:rPr>
          <w:rFonts w:ascii="Arial" w:hAnsi="Arial" w:cs="Arial"/>
          <w:color w:val="000000"/>
          <w:szCs w:val="24"/>
        </w:rPr>
      </w:pPr>
    </w:p>
    <w:p w14:paraId="49FB822D" w14:textId="77777777" w:rsidR="00C3365E" w:rsidRDefault="00C3365E" w:rsidP="00C3365E">
      <w:pPr>
        <w:rPr>
          <w:rFonts w:ascii="Arial" w:hAnsi="Arial" w:cs="Arial"/>
          <w:color w:val="000000"/>
          <w:szCs w:val="24"/>
        </w:rPr>
      </w:pPr>
      <w:r w:rsidRPr="00C3365E">
        <w:rPr>
          <w:rFonts w:ascii="Arial" w:hAnsi="Arial" w:cs="Arial"/>
          <w:b/>
          <w:color w:val="000000"/>
          <w:szCs w:val="24"/>
        </w:rPr>
        <w:t>Comment:</w:t>
      </w:r>
      <w:r>
        <w:rPr>
          <w:rFonts w:ascii="Arial" w:hAnsi="Arial" w:cs="Arial"/>
          <w:color w:val="000000"/>
          <w:szCs w:val="24"/>
        </w:rPr>
        <w:t xml:space="preserve"> </w:t>
      </w:r>
      <w:r w:rsidRPr="00C3365E">
        <w:rPr>
          <w:rFonts w:ascii="Arial" w:hAnsi="Arial" w:cs="Arial"/>
          <w:color w:val="000000"/>
          <w:szCs w:val="24"/>
        </w:rPr>
        <w:t>The indicator is higher than target and prior years. The result is due to wages of public sector agencies insured by RiskCover reducing by $283.3 million (2.2%), while the actuarial forecast cost of claims incurred increased by $13.4 million (8.5%) since 2017. This notable change in public sector wages can be attributed to the Machinery of Government and Voluntary Targeted Separation Scheme (VTSS) initiatives.</w:t>
      </w:r>
      <w:r w:rsidRPr="00C3365E">
        <w:rPr>
          <w:rFonts w:ascii="Arial" w:hAnsi="Arial" w:cs="Arial"/>
          <w:color w:val="000000"/>
          <w:szCs w:val="24"/>
        </w:rPr>
        <w:tab/>
      </w:r>
    </w:p>
    <w:p w14:paraId="1E1E22A3" w14:textId="77777777" w:rsidR="00C3365E" w:rsidRDefault="00C3365E" w:rsidP="00C3365E">
      <w:pPr>
        <w:rPr>
          <w:rFonts w:ascii="Arial" w:hAnsi="Arial" w:cs="Arial"/>
          <w:color w:val="000000"/>
          <w:szCs w:val="24"/>
        </w:rPr>
      </w:pPr>
    </w:p>
    <w:p w14:paraId="052385B5" w14:textId="77777777" w:rsidR="00C3365E" w:rsidRDefault="00C3365E" w:rsidP="00C3365E">
      <w:pPr>
        <w:rPr>
          <w:rFonts w:ascii="Arial" w:hAnsi="Arial" w:cs="Arial"/>
          <w:b/>
          <w:color w:val="000000"/>
          <w:szCs w:val="24"/>
        </w:rPr>
      </w:pPr>
      <w:r>
        <w:rPr>
          <w:rFonts w:ascii="Arial" w:hAnsi="Arial" w:cs="Arial"/>
          <w:b/>
          <w:color w:val="000000"/>
          <w:szCs w:val="24"/>
        </w:rPr>
        <w:t>Efficiency Performance Indicator</w:t>
      </w:r>
    </w:p>
    <w:p w14:paraId="61C25CC6" w14:textId="77777777" w:rsidR="00C3365E" w:rsidRDefault="00C3365E" w:rsidP="00C3365E">
      <w:pPr>
        <w:rPr>
          <w:rFonts w:ascii="Arial" w:hAnsi="Arial" w:cs="Arial"/>
          <w:b/>
          <w:color w:val="000000"/>
          <w:szCs w:val="24"/>
        </w:rPr>
      </w:pPr>
    </w:p>
    <w:p w14:paraId="786DF6DC" w14:textId="77777777" w:rsidR="00C3365E" w:rsidRDefault="00C3365E" w:rsidP="00C3365E">
      <w:pPr>
        <w:rPr>
          <w:rFonts w:ascii="Arial" w:hAnsi="Arial" w:cs="Arial"/>
          <w:b/>
          <w:color w:val="000000"/>
          <w:szCs w:val="24"/>
        </w:rPr>
      </w:pPr>
      <w:r>
        <w:rPr>
          <w:rFonts w:ascii="Arial" w:hAnsi="Arial" w:cs="Arial"/>
          <w:b/>
          <w:color w:val="000000"/>
          <w:szCs w:val="24"/>
        </w:rPr>
        <w:t>Management Fees as a Percentage of Contributions (%)</w:t>
      </w:r>
    </w:p>
    <w:p w14:paraId="1554F244" w14:textId="77777777" w:rsidR="00C3365E" w:rsidRDefault="00C3365E" w:rsidP="00C3365E">
      <w:pPr>
        <w:rPr>
          <w:rFonts w:ascii="Arial" w:hAnsi="Arial" w:cs="Arial"/>
          <w:b/>
          <w:color w:val="000000"/>
          <w:szCs w:val="24"/>
        </w:rPr>
      </w:pPr>
    </w:p>
    <w:p w14:paraId="5BF5760E" w14:textId="77777777" w:rsidR="00C3365E" w:rsidRDefault="00C3365E" w:rsidP="00C3365E">
      <w:pPr>
        <w:rPr>
          <w:rFonts w:ascii="Arial" w:hAnsi="Arial" w:cs="Arial"/>
          <w:color w:val="000000"/>
          <w:szCs w:val="24"/>
        </w:rPr>
      </w:pPr>
      <w:r w:rsidRPr="00C3365E">
        <w:rPr>
          <w:rFonts w:ascii="Arial" w:hAnsi="Arial" w:cs="Arial"/>
          <w:color w:val="000000"/>
          <w:szCs w:val="24"/>
        </w:rPr>
        <w:t>This KPI calculates the RiskCover management fee as a percentage of Fund contributions. This KPI measures the efficiency with which the RiskCover Division manages the RiskCover self-insurance scheme.</w:t>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lastRenderedPageBreak/>
        <w:tab/>
      </w:r>
      <w:r>
        <w:rPr>
          <w:noProof/>
          <w:lang w:eastAsia="en-AU"/>
        </w:rPr>
        <w:drawing>
          <wp:inline distT="0" distB="0" distL="0" distR="0" wp14:anchorId="407FB2E1" wp14:editId="3D1AAC89">
            <wp:extent cx="5731510" cy="30988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121FA94" w14:textId="77777777" w:rsidR="00C3365E" w:rsidRDefault="00C3365E" w:rsidP="00C3365E">
      <w:pPr>
        <w:rPr>
          <w:rFonts w:ascii="Arial" w:hAnsi="Arial" w:cs="Arial"/>
          <w:color w:val="000000"/>
          <w:szCs w:val="24"/>
        </w:rPr>
      </w:pPr>
    </w:p>
    <w:p w14:paraId="36ECF1F3" w14:textId="77777777" w:rsidR="00C3365E" w:rsidRDefault="00C3365E" w:rsidP="00C3365E">
      <w:pPr>
        <w:rPr>
          <w:rFonts w:ascii="Arial" w:hAnsi="Arial" w:cs="Arial"/>
          <w:color w:val="000000"/>
          <w:szCs w:val="24"/>
        </w:rPr>
      </w:pPr>
      <w:r w:rsidRPr="00C3365E">
        <w:rPr>
          <w:rFonts w:ascii="Arial" w:hAnsi="Arial" w:cs="Arial"/>
          <w:b/>
          <w:color w:val="000000"/>
          <w:szCs w:val="24"/>
        </w:rPr>
        <w:t>Comment:</w:t>
      </w:r>
      <w:r>
        <w:rPr>
          <w:rFonts w:ascii="Arial" w:hAnsi="Arial" w:cs="Arial"/>
          <w:color w:val="000000"/>
          <w:szCs w:val="24"/>
        </w:rPr>
        <w:t xml:space="preserve"> </w:t>
      </w:r>
      <w:r w:rsidRPr="00C3365E">
        <w:rPr>
          <w:rFonts w:ascii="Arial" w:hAnsi="Arial" w:cs="Arial"/>
          <w:color w:val="000000"/>
          <w:szCs w:val="24"/>
        </w:rPr>
        <w:t>The favourable 2018 result compared to target is due to the combined impact of lower than expected management fees of $1.4 million (4.7%) offset by lower fund contributions of $1.6 million (0.5%).</w:t>
      </w:r>
      <w:r w:rsidRPr="00C3365E">
        <w:rPr>
          <w:rFonts w:ascii="Arial" w:hAnsi="Arial" w:cs="Arial"/>
          <w:color w:val="000000"/>
          <w:szCs w:val="24"/>
        </w:rPr>
        <w:tab/>
      </w:r>
    </w:p>
    <w:p w14:paraId="29EE20F5" w14:textId="77777777" w:rsidR="00C3365E" w:rsidRDefault="00C3365E" w:rsidP="00C3365E">
      <w:pPr>
        <w:rPr>
          <w:rFonts w:ascii="Arial" w:hAnsi="Arial" w:cs="Arial"/>
          <w:color w:val="000000"/>
          <w:szCs w:val="24"/>
        </w:rPr>
      </w:pPr>
    </w:p>
    <w:p w14:paraId="09D9DA41" w14:textId="77777777" w:rsidR="00C3365E" w:rsidRDefault="00C3365E" w:rsidP="00C3365E">
      <w:pPr>
        <w:rPr>
          <w:rFonts w:ascii="Arial" w:hAnsi="Arial" w:cs="Arial"/>
          <w:b/>
          <w:color w:val="000000"/>
          <w:szCs w:val="24"/>
        </w:rPr>
      </w:pPr>
      <w:r>
        <w:rPr>
          <w:rFonts w:ascii="Arial" w:hAnsi="Arial" w:cs="Arial"/>
          <w:b/>
          <w:color w:val="000000"/>
          <w:szCs w:val="24"/>
        </w:rPr>
        <w:t>Outcome C – To provide a claims system that treats agencies and claimants fairly and delivers equitable compensation</w:t>
      </w:r>
    </w:p>
    <w:p w14:paraId="7CBC94E4" w14:textId="77777777" w:rsidR="00C3365E" w:rsidRDefault="00C3365E" w:rsidP="00C3365E">
      <w:pPr>
        <w:rPr>
          <w:rFonts w:ascii="Arial" w:hAnsi="Arial" w:cs="Arial"/>
          <w:b/>
          <w:color w:val="000000"/>
          <w:szCs w:val="24"/>
        </w:rPr>
      </w:pPr>
    </w:p>
    <w:p w14:paraId="69A8DACC" w14:textId="77777777" w:rsidR="00C3365E" w:rsidRDefault="00C3365E" w:rsidP="00C3365E">
      <w:pPr>
        <w:rPr>
          <w:rFonts w:ascii="Arial" w:hAnsi="Arial" w:cs="Arial"/>
          <w:b/>
          <w:color w:val="000000"/>
          <w:szCs w:val="24"/>
        </w:rPr>
      </w:pPr>
      <w:r>
        <w:rPr>
          <w:rFonts w:ascii="Arial" w:hAnsi="Arial" w:cs="Arial"/>
          <w:b/>
          <w:color w:val="000000"/>
          <w:szCs w:val="24"/>
        </w:rPr>
        <w:t>Effectiveness Performance Indicators</w:t>
      </w:r>
    </w:p>
    <w:p w14:paraId="34A8538C" w14:textId="77777777" w:rsidR="00C3365E" w:rsidRDefault="00C3365E" w:rsidP="00C3365E">
      <w:pPr>
        <w:rPr>
          <w:rFonts w:ascii="Arial" w:hAnsi="Arial" w:cs="Arial"/>
          <w:b/>
          <w:color w:val="000000"/>
          <w:szCs w:val="24"/>
        </w:rPr>
      </w:pPr>
    </w:p>
    <w:p w14:paraId="4734793B" w14:textId="77777777" w:rsidR="00C3365E" w:rsidRDefault="00C3365E" w:rsidP="00C3365E">
      <w:pPr>
        <w:rPr>
          <w:rFonts w:ascii="Arial" w:hAnsi="Arial" w:cs="Arial"/>
          <w:b/>
          <w:color w:val="000000"/>
          <w:szCs w:val="24"/>
        </w:rPr>
      </w:pPr>
      <w:r>
        <w:rPr>
          <w:rFonts w:ascii="Arial" w:hAnsi="Arial" w:cs="Arial"/>
          <w:b/>
          <w:color w:val="000000"/>
          <w:szCs w:val="24"/>
        </w:rPr>
        <w:t>Proportion of Workers’ Compensation Claims Payments made for the Direct Benefit of Claimants (%)</w:t>
      </w:r>
    </w:p>
    <w:p w14:paraId="10AFCE7D" w14:textId="77777777" w:rsidR="00C3365E" w:rsidRDefault="00C3365E" w:rsidP="00C3365E">
      <w:pPr>
        <w:rPr>
          <w:rFonts w:ascii="Arial" w:hAnsi="Arial" w:cs="Arial"/>
          <w:color w:val="000000"/>
          <w:szCs w:val="24"/>
        </w:rPr>
      </w:pPr>
      <w:r w:rsidRPr="00C3365E">
        <w:rPr>
          <w:rFonts w:ascii="Arial" w:hAnsi="Arial" w:cs="Arial"/>
          <w:color w:val="000000"/>
          <w:szCs w:val="24"/>
        </w:rPr>
        <w:t xml:space="preserve">This KPI is calculated as workers’ compensation claims payments made for the direct benefit of claimants as a percentage of total workers' compensation claims payments made during the financial year. Claims payments that do not go to the direct benefit of the claimant include the </w:t>
      </w:r>
      <w:proofErr w:type="spellStart"/>
      <w:r w:rsidRPr="00C3365E">
        <w:rPr>
          <w:rFonts w:ascii="Arial" w:hAnsi="Arial" w:cs="Arial"/>
          <w:color w:val="000000"/>
          <w:szCs w:val="24"/>
        </w:rPr>
        <w:t>RiskCover's</w:t>
      </w:r>
      <w:proofErr w:type="spellEnd"/>
      <w:r w:rsidRPr="00C3365E">
        <w:rPr>
          <w:rFonts w:ascii="Arial" w:hAnsi="Arial" w:cs="Arial"/>
          <w:color w:val="000000"/>
          <w:szCs w:val="24"/>
        </w:rPr>
        <w:t xml:space="preserve"> claims management, legal and investigation costs incurred. This KPI measures </w:t>
      </w:r>
      <w:proofErr w:type="spellStart"/>
      <w:r w:rsidRPr="00C3365E">
        <w:rPr>
          <w:rFonts w:ascii="Arial" w:hAnsi="Arial" w:cs="Arial"/>
          <w:color w:val="000000"/>
          <w:szCs w:val="24"/>
        </w:rPr>
        <w:t>RiskCover's</w:t>
      </w:r>
      <w:proofErr w:type="spellEnd"/>
      <w:r w:rsidRPr="00C3365E">
        <w:rPr>
          <w:rFonts w:ascii="Arial" w:hAnsi="Arial" w:cs="Arial"/>
          <w:color w:val="000000"/>
          <w:szCs w:val="24"/>
        </w:rPr>
        <w:t xml:space="preserve"> effectiveness in minimising the financial hardship of claimants and delivering equitable compensation.</w:t>
      </w:r>
      <w:r w:rsidRPr="00C3365E">
        <w:rPr>
          <w:rFonts w:ascii="Arial" w:hAnsi="Arial" w:cs="Arial"/>
          <w:color w:val="000000"/>
          <w:szCs w:val="24"/>
        </w:rPr>
        <w:tab/>
      </w:r>
      <w:r w:rsidRPr="00C3365E">
        <w:rPr>
          <w:rFonts w:ascii="Arial" w:hAnsi="Arial" w:cs="Arial"/>
          <w:color w:val="000000"/>
          <w:szCs w:val="24"/>
        </w:rPr>
        <w:lastRenderedPageBreak/>
        <w:tab/>
      </w:r>
      <w:r>
        <w:rPr>
          <w:noProof/>
          <w:lang w:eastAsia="en-AU"/>
        </w:rPr>
        <w:drawing>
          <wp:inline distT="0" distB="0" distL="0" distR="0" wp14:anchorId="7F306F4F" wp14:editId="17A66F2C">
            <wp:extent cx="5731510" cy="3149600"/>
            <wp:effectExtent l="0" t="0" r="254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87E9B8" w14:textId="77777777" w:rsidR="00C3365E" w:rsidRDefault="00C3365E" w:rsidP="00C3365E">
      <w:pPr>
        <w:rPr>
          <w:rFonts w:ascii="Arial" w:hAnsi="Arial" w:cs="Arial"/>
          <w:color w:val="000000"/>
          <w:szCs w:val="24"/>
        </w:rPr>
      </w:pPr>
    </w:p>
    <w:p w14:paraId="430A013E" w14:textId="77777777" w:rsidR="00C3365E" w:rsidRDefault="00C3365E" w:rsidP="00C3365E">
      <w:pPr>
        <w:rPr>
          <w:rFonts w:ascii="Arial" w:hAnsi="Arial" w:cs="Arial"/>
          <w:color w:val="000000"/>
          <w:szCs w:val="24"/>
        </w:rPr>
      </w:pPr>
      <w:r w:rsidRPr="00C3365E">
        <w:rPr>
          <w:rFonts w:ascii="Arial" w:hAnsi="Arial" w:cs="Arial"/>
          <w:b/>
          <w:color w:val="000000"/>
          <w:szCs w:val="24"/>
        </w:rPr>
        <w:t>Comment:</w:t>
      </w:r>
      <w:r>
        <w:rPr>
          <w:rFonts w:ascii="Arial" w:hAnsi="Arial" w:cs="Arial"/>
          <w:color w:val="000000"/>
          <w:szCs w:val="24"/>
        </w:rPr>
        <w:t xml:space="preserve"> </w:t>
      </w:r>
      <w:r w:rsidRPr="00C3365E">
        <w:rPr>
          <w:rFonts w:ascii="Arial" w:hAnsi="Arial" w:cs="Arial"/>
          <w:color w:val="000000"/>
          <w:szCs w:val="24"/>
        </w:rPr>
        <w:t>The 2018 result is better than target due to a continued focus on claims management practices and delivering against the strategic objective to provide fair and equitable compensation. While payments not for the direct benefit of the claimant (e.g. legal and investigation expenses) increased by 3.4%, the increase in total workers' compensation payments was notably higher at 8.2% from 2017.</w:t>
      </w:r>
      <w:r w:rsidRPr="00C3365E">
        <w:rPr>
          <w:rFonts w:ascii="Arial" w:hAnsi="Arial" w:cs="Arial"/>
          <w:color w:val="000000"/>
          <w:szCs w:val="24"/>
        </w:rPr>
        <w:tab/>
      </w:r>
    </w:p>
    <w:p w14:paraId="0051FBBF" w14:textId="77777777" w:rsidR="00C3365E" w:rsidRDefault="00C3365E" w:rsidP="00C3365E">
      <w:pPr>
        <w:rPr>
          <w:rFonts w:ascii="Arial" w:hAnsi="Arial" w:cs="Arial"/>
          <w:color w:val="000000"/>
          <w:szCs w:val="24"/>
        </w:rPr>
      </w:pPr>
    </w:p>
    <w:p w14:paraId="391E3FF3" w14:textId="77777777" w:rsidR="00C3365E" w:rsidRDefault="00C3365E" w:rsidP="00C3365E">
      <w:pPr>
        <w:rPr>
          <w:rFonts w:ascii="Arial" w:hAnsi="Arial" w:cs="Arial"/>
          <w:b/>
          <w:color w:val="000000"/>
          <w:szCs w:val="24"/>
        </w:rPr>
      </w:pPr>
      <w:r>
        <w:rPr>
          <w:rFonts w:ascii="Arial" w:hAnsi="Arial" w:cs="Arial"/>
          <w:b/>
          <w:color w:val="000000"/>
          <w:szCs w:val="24"/>
        </w:rPr>
        <w:t>Workers’ Compensation Timeliness of Liability Determination (%)</w:t>
      </w:r>
    </w:p>
    <w:p w14:paraId="768557C3" w14:textId="6E481E45" w:rsidR="00C3365E" w:rsidRPr="00C3365E" w:rsidRDefault="00C3365E" w:rsidP="00C3365E">
      <w:pPr>
        <w:rPr>
          <w:rFonts w:ascii="Arial" w:hAnsi="Arial" w:cs="Arial"/>
          <w:color w:val="000000"/>
          <w:szCs w:val="24"/>
        </w:rPr>
      </w:pPr>
      <w:r w:rsidRPr="00C3365E">
        <w:rPr>
          <w:rFonts w:ascii="Arial" w:hAnsi="Arial" w:cs="Arial"/>
          <w:color w:val="000000"/>
          <w:szCs w:val="24"/>
        </w:rPr>
        <w:t xml:space="preserve">This KPI calculates the timeliness of liability decisions for workers' compensation claims. WorkCover WA's best practice guideline for insurers and self-insurers requires that a decision be made on new and ongoing claims within 17 days from the date of lodgement with the employer to ensure claimants are treated fairly. </w:t>
      </w:r>
    </w:p>
    <w:p w14:paraId="5FBE3EB1" w14:textId="77777777" w:rsidR="00C3365E" w:rsidRDefault="00C3365E" w:rsidP="00C3365E">
      <w:pPr>
        <w:rPr>
          <w:rFonts w:ascii="Arial" w:hAnsi="Arial" w:cs="Arial"/>
          <w:color w:val="000000"/>
          <w:szCs w:val="24"/>
        </w:rPr>
      </w:pPr>
      <w:r>
        <w:rPr>
          <w:noProof/>
          <w:lang w:eastAsia="en-AU"/>
        </w:rPr>
        <w:drawing>
          <wp:inline distT="0" distB="0" distL="0" distR="0" wp14:anchorId="6689094F" wp14:editId="00CC3F24">
            <wp:extent cx="5731510" cy="314452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2934B7" w14:textId="77777777" w:rsidR="00C3365E" w:rsidRDefault="00C3365E" w:rsidP="00C3365E">
      <w:pPr>
        <w:rPr>
          <w:rFonts w:ascii="Arial" w:hAnsi="Arial" w:cs="Arial"/>
          <w:color w:val="000000"/>
          <w:szCs w:val="24"/>
        </w:rPr>
      </w:pPr>
    </w:p>
    <w:p w14:paraId="2BD81D95" w14:textId="1A521F35" w:rsidR="00C3365E" w:rsidRDefault="00C3365E" w:rsidP="00C3365E">
      <w:pPr>
        <w:rPr>
          <w:rFonts w:ascii="Arial" w:hAnsi="Arial" w:cs="Arial"/>
          <w:color w:val="000000"/>
          <w:szCs w:val="24"/>
        </w:rPr>
      </w:pPr>
      <w:r w:rsidRPr="00C3365E">
        <w:rPr>
          <w:rFonts w:ascii="Arial" w:hAnsi="Arial" w:cs="Arial"/>
          <w:b/>
          <w:color w:val="000000"/>
          <w:szCs w:val="24"/>
        </w:rPr>
        <w:lastRenderedPageBreak/>
        <w:t>Comment:</w:t>
      </w:r>
      <w:r>
        <w:rPr>
          <w:rFonts w:ascii="Arial" w:hAnsi="Arial" w:cs="Arial"/>
          <w:color w:val="000000"/>
          <w:szCs w:val="24"/>
        </w:rPr>
        <w:t xml:space="preserve"> </w:t>
      </w:r>
      <w:r w:rsidRPr="00C3365E">
        <w:rPr>
          <w:rFonts w:ascii="Arial" w:hAnsi="Arial" w:cs="Arial"/>
          <w:color w:val="000000"/>
          <w:szCs w:val="24"/>
        </w:rPr>
        <w:t>The 2018 result is better than target as a result of continued efforts and improvements to process controls to ensure timely liability decisions.</w:t>
      </w:r>
    </w:p>
    <w:p w14:paraId="5B83F85D" w14:textId="77777777" w:rsidR="00C3365E" w:rsidRDefault="00C3365E" w:rsidP="00C3365E">
      <w:pPr>
        <w:rPr>
          <w:rFonts w:ascii="Arial" w:hAnsi="Arial" w:cs="Arial"/>
          <w:color w:val="000000"/>
          <w:szCs w:val="24"/>
        </w:rPr>
      </w:pPr>
    </w:p>
    <w:p w14:paraId="70DBE5E4" w14:textId="27B5403F" w:rsidR="00C3365E" w:rsidRDefault="000E4C18" w:rsidP="00C3365E">
      <w:pPr>
        <w:rPr>
          <w:rFonts w:ascii="Arial" w:hAnsi="Arial" w:cs="Arial"/>
          <w:b/>
          <w:color w:val="000000"/>
          <w:szCs w:val="24"/>
        </w:rPr>
      </w:pPr>
      <w:r>
        <w:rPr>
          <w:rFonts w:ascii="Arial" w:hAnsi="Arial" w:cs="Arial"/>
          <w:b/>
          <w:color w:val="000000"/>
          <w:szCs w:val="24"/>
        </w:rPr>
        <w:t>Efficiency Performance Indicators</w:t>
      </w:r>
    </w:p>
    <w:p w14:paraId="059E5F28" w14:textId="77777777" w:rsidR="000E4C18" w:rsidRDefault="000E4C18" w:rsidP="00C3365E">
      <w:pPr>
        <w:rPr>
          <w:rFonts w:ascii="Arial" w:hAnsi="Arial" w:cs="Arial"/>
          <w:b/>
          <w:color w:val="000000"/>
          <w:szCs w:val="24"/>
        </w:rPr>
      </w:pPr>
    </w:p>
    <w:p w14:paraId="6F6E8BFF" w14:textId="7EFDB10A" w:rsidR="000E4C18" w:rsidRDefault="000E4C18" w:rsidP="00C3365E">
      <w:pPr>
        <w:rPr>
          <w:rFonts w:ascii="Arial" w:hAnsi="Arial" w:cs="Arial"/>
          <w:b/>
          <w:color w:val="000000"/>
          <w:szCs w:val="24"/>
        </w:rPr>
      </w:pPr>
      <w:r>
        <w:rPr>
          <w:rFonts w:ascii="Arial" w:hAnsi="Arial" w:cs="Arial"/>
          <w:b/>
          <w:color w:val="000000"/>
          <w:szCs w:val="24"/>
        </w:rPr>
        <w:t>Claims Administration Costs per Claim Administered ($)</w:t>
      </w:r>
    </w:p>
    <w:p w14:paraId="460F2A5C" w14:textId="77777777" w:rsidR="004141F3" w:rsidRDefault="000E4C18" w:rsidP="000E4C18">
      <w:pPr>
        <w:rPr>
          <w:noProof/>
          <w:lang w:eastAsia="en-AU"/>
        </w:rPr>
      </w:pPr>
      <w:r w:rsidRPr="000E4C18">
        <w:rPr>
          <w:rFonts w:ascii="Arial" w:hAnsi="Arial" w:cs="Arial"/>
          <w:color w:val="000000"/>
          <w:szCs w:val="24"/>
        </w:rPr>
        <w:t>This KPI calculates claims administration costs divided by the number of claims administered in the period. This KPI measures the efficiency of claims administration.</w:t>
      </w:r>
      <w:r w:rsidRPr="000E4C18">
        <w:rPr>
          <w:noProof/>
          <w:lang w:eastAsia="en-AU"/>
        </w:rPr>
        <w:t xml:space="preserve"> </w:t>
      </w:r>
      <w:r>
        <w:rPr>
          <w:noProof/>
          <w:lang w:eastAsia="en-AU"/>
        </w:rPr>
        <w:drawing>
          <wp:inline distT="0" distB="0" distL="0" distR="0" wp14:anchorId="2EDFA2D7" wp14:editId="4F04F8D6">
            <wp:extent cx="5731510" cy="3183255"/>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1F9EBD8" w14:textId="77777777" w:rsidR="004141F3" w:rsidRDefault="004141F3" w:rsidP="000E4C18">
      <w:pPr>
        <w:rPr>
          <w:noProof/>
          <w:lang w:eastAsia="en-AU"/>
        </w:rPr>
      </w:pPr>
    </w:p>
    <w:p w14:paraId="7F33D11B" w14:textId="77777777" w:rsidR="004141F3" w:rsidRDefault="004141F3" w:rsidP="004141F3">
      <w:pPr>
        <w:rPr>
          <w:rFonts w:ascii="Arial" w:hAnsi="Arial" w:cs="Arial"/>
          <w:color w:val="000000"/>
          <w:szCs w:val="24"/>
        </w:rPr>
      </w:pPr>
      <w:r w:rsidRPr="004141F3">
        <w:rPr>
          <w:rFonts w:ascii="Arial" w:hAnsi="Arial" w:cs="Arial"/>
          <w:b/>
          <w:color w:val="000000"/>
          <w:szCs w:val="24"/>
        </w:rPr>
        <w:t>Comment:</w:t>
      </w:r>
      <w:r>
        <w:rPr>
          <w:rFonts w:ascii="Arial" w:hAnsi="Arial" w:cs="Arial"/>
          <w:color w:val="000000"/>
          <w:szCs w:val="24"/>
        </w:rPr>
        <w:t xml:space="preserve"> </w:t>
      </w:r>
      <w:r w:rsidRPr="004141F3">
        <w:rPr>
          <w:rFonts w:ascii="Arial" w:hAnsi="Arial" w:cs="Arial"/>
          <w:color w:val="000000"/>
          <w:szCs w:val="24"/>
        </w:rPr>
        <w:t>The claims administration cost per claim administered is $38 (2.3%) slightly below target, due to the combined impact of claims administration costs being $1.4 million (4.2%) below target and the number of claims administered being 413 (2%) less than target. The reduction in claims administered is largely attributable to the short-tail property class (1,200 below budget) offset by an increase in the longer tail workers' compensation class (990 above budget).</w:t>
      </w:r>
      <w:r w:rsidR="000E4C18" w:rsidRPr="000E4C18">
        <w:rPr>
          <w:rFonts w:ascii="Arial" w:hAnsi="Arial" w:cs="Arial"/>
          <w:color w:val="000000"/>
          <w:szCs w:val="24"/>
        </w:rPr>
        <w:tab/>
      </w:r>
      <w:r w:rsidR="000E4C18" w:rsidRPr="000E4C18">
        <w:rPr>
          <w:rFonts w:ascii="Arial" w:hAnsi="Arial" w:cs="Arial"/>
          <w:color w:val="000000"/>
          <w:szCs w:val="24"/>
        </w:rPr>
        <w:tab/>
      </w:r>
      <w:r w:rsidR="000E4C18" w:rsidRPr="000E4C18">
        <w:rPr>
          <w:rFonts w:ascii="Arial" w:hAnsi="Arial" w:cs="Arial"/>
          <w:color w:val="000000"/>
          <w:szCs w:val="24"/>
        </w:rPr>
        <w:tab/>
      </w:r>
      <w:r w:rsidR="000E4C18" w:rsidRPr="000E4C18">
        <w:rPr>
          <w:rFonts w:ascii="Arial" w:hAnsi="Arial" w:cs="Arial"/>
          <w:color w:val="000000"/>
          <w:szCs w:val="24"/>
        </w:rPr>
        <w:tab/>
      </w:r>
      <w:r w:rsidR="000E4C18" w:rsidRPr="000E4C18">
        <w:rPr>
          <w:rFonts w:ascii="Arial" w:hAnsi="Arial" w:cs="Arial"/>
          <w:color w:val="000000"/>
          <w:szCs w:val="24"/>
        </w:rPr>
        <w:tab/>
      </w:r>
    </w:p>
    <w:p w14:paraId="111674A0" w14:textId="77777777" w:rsidR="004141F3" w:rsidRDefault="004141F3" w:rsidP="004141F3">
      <w:pPr>
        <w:rPr>
          <w:rFonts w:ascii="Arial" w:hAnsi="Arial" w:cs="Arial"/>
          <w:b/>
          <w:color w:val="000000"/>
          <w:szCs w:val="24"/>
        </w:rPr>
      </w:pPr>
    </w:p>
    <w:p w14:paraId="2584D15E" w14:textId="77777777" w:rsidR="004141F3" w:rsidRDefault="004141F3" w:rsidP="004141F3">
      <w:pPr>
        <w:rPr>
          <w:rFonts w:ascii="Arial" w:hAnsi="Arial" w:cs="Arial"/>
          <w:b/>
          <w:color w:val="000000"/>
          <w:szCs w:val="24"/>
        </w:rPr>
      </w:pPr>
      <w:r>
        <w:rPr>
          <w:rFonts w:ascii="Arial" w:hAnsi="Arial" w:cs="Arial"/>
          <w:b/>
          <w:color w:val="000000"/>
          <w:szCs w:val="24"/>
        </w:rPr>
        <w:t>Claims Administration Costs as a Ratio of Gross Claims Paid (%)</w:t>
      </w:r>
    </w:p>
    <w:p w14:paraId="64434CD8" w14:textId="77777777" w:rsidR="004141F3" w:rsidRDefault="004141F3" w:rsidP="004141F3">
      <w:pPr>
        <w:rPr>
          <w:rFonts w:ascii="Arial" w:hAnsi="Arial" w:cs="Arial"/>
          <w:color w:val="000000"/>
          <w:szCs w:val="24"/>
        </w:rPr>
      </w:pPr>
      <w:r w:rsidRPr="004141F3">
        <w:rPr>
          <w:rFonts w:ascii="Arial" w:hAnsi="Arial" w:cs="Arial"/>
          <w:color w:val="000000"/>
          <w:szCs w:val="24"/>
        </w:rPr>
        <w:t xml:space="preserve">This KPI calculates claims administration costs as a percentage of the gross claims paid. This KPI measures the efficiency of claims administration.  </w:t>
      </w:r>
      <w:r w:rsidRPr="004141F3">
        <w:rPr>
          <w:rFonts w:ascii="Arial" w:hAnsi="Arial" w:cs="Arial"/>
          <w:color w:val="000000"/>
          <w:szCs w:val="24"/>
        </w:rPr>
        <w:tab/>
      </w:r>
      <w:r w:rsidRPr="004141F3">
        <w:rPr>
          <w:rFonts w:ascii="Arial" w:hAnsi="Arial" w:cs="Arial"/>
          <w:color w:val="000000"/>
          <w:szCs w:val="24"/>
        </w:rPr>
        <w:tab/>
      </w:r>
      <w:r w:rsidRPr="004141F3">
        <w:rPr>
          <w:rFonts w:ascii="Arial" w:hAnsi="Arial" w:cs="Arial"/>
          <w:color w:val="000000"/>
          <w:szCs w:val="24"/>
        </w:rPr>
        <w:lastRenderedPageBreak/>
        <w:tab/>
      </w:r>
      <w:r>
        <w:rPr>
          <w:noProof/>
          <w:lang w:eastAsia="en-AU"/>
        </w:rPr>
        <w:drawing>
          <wp:inline distT="0" distB="0" distL="0" distR="0" wp14:anchorId="233D22AD" wp14:editId="3F9EF2F0">
            <wp:extent cx="5731510" cy="3183255"/>
            <wp:effectExtent l="0" t="0" r="254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23FA31" w14:textId="77777777" w:rsidR="004141F3" w:rsidRDefault="004141F3" w:rsidP="004141F3">
      <w:pPr>
        <w:rPr>
          <w:rFonts w:ascii="Arial" w:hAnsi="Arial" w:cs="Arial"/>
          <w:color w:val="000000"/>
          <w:szCs w:val="24"/>
        </w:rPr>
      </w:pPr>
    </w:p>
    <w:p w14:paraId="28A687AE" w14:textId="0426CFB7" w:rsidR="004141F3" w:rsidRPr="004141F3" w:rsidRDefault="004141F3" w:rsidP="004141F3">
      <w:pPr>
        <w:rPr>
          <w:rFonts w:ascii="Arial" w:hAnsi="Arial" w:cs="Arial"/>
          <w:color w:val="000000"/>
          <w:szCs w:val="24"/>
        </w:rPr>
      </w:pPr>
      <w:r w:rsidRPr="004141F3">
        <w:rPr>
          <w:rFonts w:ascii="Arial" w:hAnsi="Arial" w:cs="Arial"/>
          <w:b/>
          <w:color w:val="000000"/>
          <w:szCs w:val="24"/>
        </w:rPr>
        <w:t>Comment:</w:t>
      </w:r>
      <w:r>
        <w:rPr>
          <w:rFonts w:ascii="Arial" w:hAnsi="Arial" w:cs="Arial"/>
          <w:color w:val="000000"/>
          <w:szCs w:val="24"/>
        </w:rPr>
        <w:t xml:space="preserve"> </w:t>
      </w:r>
      <w:r w:rsidRPr="004141F3">
        <w:rPr>
          <w:rFonts w:ascii="Arial" w:hAnsi="Arial" w:cs="Arial"/>
          <w:color w:val="000000"/>
          <w:szCs w:val="24"/>
        </w:rPr>
        <w:t>The 2018 result was slightly better than target due to claims administration costs being $1.4 million (4.2%) below target and gross claims paid being $7.3 million (3.2%) below target. The reduction in gross claims paid was led by the short-tail property class of insurance ($8.9 million).</w:t>
      </w:r>
      <w:r w:rsidRPr="004141F3">
        <w:rPr>
          <w:rFonts w:ascii="Arial" w:hAnsi="Arial" w:cs="Arial"/>
          <w:color w:val="000000"/>
          <w:szCs w:val="24"/>
        </w:rPr>
        <w:tab/>
      </w:r>
      <w:r w:rsidRPr="004141F3">
        <w:rPr>
          <w:rFonts w:ascii="Arial" w:hAnsi="Arial" w:cs="Arial"/>
          <w:color w:val="000000"/>
          <w:szCs w:val="24"/>
        </w:rPr>
        <w:tab/>
      </w:r>
      <w:r w:rsidRPr="004141F3">
        <w:rPr>
          <w:rFonts w:ascii="Arial" w:hAnsi="Arial" w:cs="Arial"/>
          <w:color w:val="000000"/>
          <w:szCs w:val="24"/>
        </w:rPr>
        <w:tab/>
      </w:r>
      <w:r w:rsidRPr="004141F3">
        <w:rPr>
          <w:rFonts w:ascii="Arial" w:hAnsi="Arial" w:cs="Arial"/>
          <w:color w:val="000000"/>
          <w:szCs w:val="24"/>
        </w:rPr>
        <w:tab/>
      </w:r>
      <w:r w:rsidRPr="004141F3">
        <w:rPr>
          <w:rFonts w:ascii="Arial" w:hAnsi="Arial" w:cs="Arial"/>
          <w:color w:val="000000"/>
          <w:szCs w:val="24"/>
        </w:rPr>
        <w:tab/>
      </w:r>
      <w:r w:rsidRPr="004141F3">
        <w:rPr>
          <w:rFonts w:ascii="Arial" w:hAnsi="Arial" w:cs="Arial"/>
          <w:color w:val="000000"/>
          <w:szCs w:val="24"/>
        </w:rPr>
        <w:tab/>
      </w:r>
    </w:p>
    <w:p w14:paraId="3EDEE634" w14:textId="17AFF37B" w:rsidR="000E4C18" w:rsidRPr="000E4C18" w:rsidRDefault="004141F3" w:rsidP="004141F3">
      <w:pPr>
        <w:rPr>
          <w:rFonts w:ascii="Arial" w:hAnsi="Arial" w:cs="Arial"/>
          <w:color w:val="000000"/>
          <w:szCs w:val="24"/>
        </w:rPr>
      </w:pPr>
      <w:r w:rsidRPr="004141F3">
        <w:rPr>
          <w:rFonts w:ascii="Arial" w:hAnsi="Arial" w:cs="Arial"/>
          <w:b/>
          <w:color w:val="000000"/>
          <w:szCs w:val="24"/>
        </w:rPr>
        <w:tab/>
      </w:r>
      <w:r w:rsidRPr="004141F3">
        <w:rPr>
          <w:rFonts w:ascii="Arial" w:hAnsi="Arial" w:cs="Arial"/>
          <w:b/>
          <w:color w:val="000000"/>
          <w:szCs w:val="24"/>
        </w:rPr>
        <w:tab/>
      </w:r>
      <w:r w:rsidRPr="004141F3">
        <w:rPr>
          <w:rFonts w:ascii="Arial" w:hAnsi="Arial" w:cs="Arial"/>
          <w:b/>
          <w:color w:val="000000"/>
          <w:szCs w:val="24"/>
        </w:rPr>
        <w:tab/>
      </w:r>
      <w:r w:rsidRPr="004141F3">
        <w:rPr>
          <w:rFonts w:ascii="Arial" w:hAnsi="Arial" w:cs="Arial"/>
          <w:b/>
          <w:color w:val="000000"/>
          <w:szCs w:val="24"/>
        </w:rPr>
        <w:tab/>
      </w:r>
      <w:r w:rsidRPr="004141F3">
        <w:rPr>
          <w:rFonts w:ascii="Arial" w:hAnsi="Arial" w:cs="Arial"/>
          <w:b/>
          <w:color w:val="000000"/>
          <w:szCs w:val="24"/>
        </w:rPr>
        <w:tab/>
      </w:r>
      <w:r w:rsidRPr="004141F3">
        <w:rPr>
          <w:rFonts w:ascii="Arial" w:hAnsi="Arial" w:cs="Arial"/>
          <w:b/>
          <w:color w:val="000000"/>
          <w:szCs w:val="24"/>
        </w:rPr>
        <w:tab/>
      </w:r>
      <w:r w:rsidRPr="004141F3">
        <w:rPr>
          <w:rFonts w:ascii="Arial" w:hAnsi="Arial" w:cs="Arial"/>
          <w:b/>
          <w:color w:val="000000"/>
          <w:szCs w:val="24"/>
        </w:rPr>
        <w:tab/>
      </w:r>
      <w:r w:rsidRPr="004141F3">
        <w:rPr>
          <w:rFonts w:ascii="Arial" w:hAnsi="Arial" w:cs="Arial"/>
          <w:b/>
          <w:color w:val="000000"/>
          <w:szCs w:val="24"/>
        </w:rPr>
        <w:tab/>
      </w:r>
      <w:r w:rsidRPr="004141F3">
        <w:rPr>
          <w:rFonts w:ascii="Arial" w:hAnsi="Arial" w:cs="Arial"/>
          <w:b/>
          <w:color w:val="000000"/>
          <w:szCs w:val="24"/>
        </w:rPr>
        <w:tab/>
      </w:r>
      <w:r>
        <w:rPr>
          <w:rFonts w:ascii="Arial" w:hAnsi="Arial" w:cs="Arial"/>
          <w:b/>
          <w:color w:val="000000"/>
          <w:szCs w:val="24"/>
        </w:rPr>
        <w:t xml:space="preserve"> </w:t>
      </w:r>
      <w:r w:rsidR="000E4C18" w:rsidRPr="000E4C18">
        <w:rPr>
          <w:rFonts w:ascii="Arial" w:hAnsi="Arial" w:cs="Arial"/>
          <w:color w:val="000000"/>
          <w:szCs w:val="24"/>
        </w:rPr>
        <w:tab/>
      </w:r>
      <w:r w:rsidR="000E4C18" w:rsidRPr="000E4C18">
        <w:rPr>
          <w:rFonts w:ascii="Arial" w:hAnsi="Arial" w:cs="Arial"/>
          <w:color w:val="000000"/>
          <w:szCs w:val="24"/>
        </w:rPr>
        <w:tab/>
      </w:r>
      <w:r w:rsidR="000E4C18" w:rsidRPr="000E4C18">
        <w:rPr>
          <w:rFonts w:ascii="Arial" w:hAnsi="Arial" w:cs="Arial"/>
          <w:color w:val="000000"/>
          <w:szCs w:val="24"/>
        </w:rPr>
        <w:tab/>
      </w:r>
      <w:r w:rsidR="000E4C18" w:rsidRPr="000E4C18">
        <w:rPr>
          <w:rFonts w:ascii="Arial" w:hAnsi="Arial" w:cs="Arial"/>
          <w:color w:val="000000"/>
          <w:szCs w:val="24"/>
        </w:rPr>
        <w:tab/>
      </w:r>
    </w:p>
    <w:p w14:paraId="657DD321" w14:textId="08321FA0" w:rsidR="000E4C18" w:rsidRPr="000E4C18" w:rsidRDefault="000E4C18" w:rsidP="000E4C18">
      <w:pPr>
        <w:rPr>
          <w:rFonts w:ascii="Arial" w:hAnsi="Arial" w:cs="Arial"/>
          <w:b/>
          <w:color w:val="000000"/>
          <w:szCs w:val="24"/>
        </w:rPr>
      </w:pPr>
      <w:r w:rsidRPr="000E4C18">
        <w:rPr>
          <w:rFonts w:ascii="Arial" w:hAnsi="Arial" w:cs="Arial"/>
          <w:b/>
          <w:color w:val="000000"/>
          <w:szCs w:val="24"/>
        </w:rPr>
        <w:tab/>
      </w:r>
      <w:r w:rsidRPr="000E4C18">
        <w:rPr>
          <w:rFonts w:ascii="Arial" w:hAnsi="Arial" w:cs="Arial"/>
          <w:b/>
          <w:color w:val="000000"/>
          <w:szCs w:val="24"/>
        </w:rPr>
        <w:tab/>
      </w:r>
      <w:r w:rsidRPr="000E4C18">
        <w:rPr>
          <w:rFonts w:ascii="Arial" w:hAnsi="Arial" w:cs="Arial"/>
          <w:b/>
          <w:color w:val="000000"/>
          <w:szCs w:val="24"/>
        </w:rPr>
        <w:tab/>
      </w:r>
      <w:r w:rsidRPr="000E4C18">
        <w:rPr>
          <w:rFonts w:ascii="Arial" w:hAnsi="Arial" w:cs="Arial"/>
          <w:b/>
          <w:color w:val="000000"/>
          <w:szCs w:val="24"/>
        </w:rPr>
        <w:tab/>
      </w:r>
      <w:r w:rsidRPr="000E4C18">
        <w:rPr>
          <w:rFonts w:ascii="Arial" w:hAnsi="Arial" w:cs="Arial"/>
          <w:b/>
          <w:color w:val="000000"/>
          <w:szCs w:val="24"/>
        </w:rPr>
        <w:tab/>
      </w:r>
      <w:r w:rsidRPr="000E4C18">
        <w:rPr>
          <w:rFonts w:ascii="Arial" w:hAnsi="Arial" w:cs="Arial"/>
          <w:b/>
          <w:color w:val="000000"/>
          <w:szCs w:val="24"/>
        </w:rPr>
        <w:tab/>
      </w:r>
      <w:r w:rsidRPr="000E4C18">
        <w:rPr>
          <w:rFonts w:ascii="Arial" w:hAnsi="Arial" w:cs="Arial"/>
          <w:b/>
          <w:color w:val="000000"/>
          <w:szCs w:val="24"/>
        </w:rPr>
        <w:tab/>
      </w:r>
      <w:r w:rsidRPr="000E4C18">
        <w:rPr>
          <w:rFonts w:ascii="Arial" w:hAnsi="Arial" w:cs="Arial"/>
          <w:b/>
          <w:color w:val="000000"/>
          <w:szCs w:val="24"/>
        </w:rPr>
        <w:tab/>
      </w:r>
      <w:r w:rsidRPr="000E4C18">
        <w:rPr>
          <w:rFonts w:ascii="Arial" w:hAnsi="Arial" w:cs="Arial"/>
          <w:b/>
          <w:color w:val="000000"/>
          <w:szCs w:val="24"/>
        </w:rPr>
        <w:tab/>
      </w:r>
    </w:p>
    <w:p w14:paraId="7484DC5B" w14:textId="2077EF6F" w:rsidR="00C3365E" w:rsidRPr="00C3365E" w:rsidRDefault="00C3365E" w:rsidP="00C3365E">
      <w:pPr>
        <w:rPr>
          <w:rFonts w:ascii="Arial" w:hAnsi="Arial" w:cs="Arial"/>
          <w:color w:val="000000"/>
          <w:szCs w:val="24"/>
        </w:rPr>
      </w:pP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28068D77" w14:textId="77777777" w:rsidR="00C3365E" w:rsidRPr="00C3365E" w:rsidRDefault="00C3365E" w:rsidP="00C3365E">
      <w:pPr>
        <w:rPr>
          <w:rFonts w:ascii="Arial" w:hAnsi="Arial" w:cs="Arial"/>
          <w:color w:val="000000"/>
          <w:szCs w:val="24"/>
        </w:rPr>
      </w:pP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7FE89B77" w14:textId="1E6DD231" w:rsidR="00C3365E" w:rsidRPr="00C3365E" w:rsidRDefault="00C3365E" w:rsidP="00C3365E">
      <w:pPr>
        <w:rPr>
          <w:rFonts w:ascii="Arial" w:hAnsi="Arial" w:cs="Arial"/>
          <w:color w:val="000000"/>
          <w:szCs w:val="24"/>
        </w:rPr>
      </w:pP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19A12316" w14:textId="77777777" w:rsidR="00C3365E" w:rsidRPr="00C3365E" w:rsidRDefault="00C3365E" w:rsidP="00C3365E">
      <w:pPr>
        <w:rPr>
          <w:rFonts w:ascii="Arial" w:hAnsi="Arial" w:cs="Arial"/>
          <w:color w:val="000000"/>
          <w:szCs w:val="24"/>
        </w:rPr>
      </w:pP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55CBCA66" w14:textId="77777777" w:rsidR="00C3365E" w:rsidRPr="00C3365E" w:rsidRDefault="00C3365E" w:rsidP="00C3365E">
      <w:pPr>
        <w:rPr>
          <w:rFonts w:ascii="Arial" w:hAnsi="Arial" w:cs="Arial"/>
          <w:color w:val="000000"/>
          <w:szCs w:val="24"/>
        </w:rPr>
      </w:pP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062088DE" w14:textId="77777777" w:rsidR="00C3365E" w:rsidRPr="00C3365E" w:rsidRDefault="00C3365E" w:rsidP="00C3365E">
      <w:pPr>
        <w:rPr>
          <w:rFonts w:ascii="Arial" w:hAnsi="Arial" w:cs="Arial"/>
          <w:color w:val="000000"/>
          <w:szCs w:val="24"/>
        </w:rPr>
      </w:pP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3F61ED23" w14:textId="292F7003" w:rsidR="00C3365E" w:rsidRPr="00C3365E" w:rsidRDefault="00C3365E" w:rsidP="00C3365E">
      <w:pPr>
        <w:rPr>
          <w:rFonts w:ascii="Arial" w:hAnsi="Arial" w:cs="Arial"/>
          <w:color w:val="000000"/>
          <w:szCs w:val="24"/>
        </w:rPr>
      </w:pP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647000C0" w14:textId="2AD3298A" w:rsidR="00C3365E" w:rsidRPr="00C3365E" w:rsidRDefault="00C3365E" w:rsidP="00C3365E">
      <w:pPr>
        <w:rPr>
          <w:rFonts w:ascii="Arial" w:hAnsi="Arial" w:cs="Arial"/>
          <w:color w:val="000000"/>
          <w:szCs w:val="24"/>
        </w:rPr>
      </w:pP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r w:rsidRPr="00C3365E">
        <w:rPr>
          <w:rFonts w:ascii="Arial" w:hAnsi="Arial" w:cs="Arial"/>
          <w:color w:val="000000"/>
          <w:szCs w:val="24"/>
        </w:rPr>
        <w:tab/>
      </w:r>
    </w:p>
    <w:p w14:paraId="37D9AEA7" w14:textId="77777777" w:rsidR="00C3365E" w:rsidRPr="00C3365E" w:rsidRDefault="00C3365E" w:rsidP="00C3365E">
      <w:pPr>
        <w:rPr>
          <w:rFonts w:ascii="Arial" w:hAnsi="Arial" w:cs="Arial"/>
          <w:b/>
          <w:color w:val="000000"/>
          <w:szCs w:val="24"/>
        </w:rPr>
      </w:pP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p>
    <w:p w14:paraId="350DFB89" w14:textId="77777777" w:rsidR="00C3365E" w:rsidRPr="00C3365E" w:rsidRDefault="00C3365E" w:rsidP="00C3365E">
      <w:pPr>
        <w:rPr>
          <w:rFonts w:ascii="Arial" w:hAnsi="Arial" w:cs="Arial"/>
          <w:b/>
          <w:color w:val="000000"/>
          <w:szCs w:val="24"/>
        </w:rPr>
      </w:pP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p>
    <w:p w14:paraId="69BE04A0" w14:textId="74777974" w:rsidR="00C3365E" w:rsidRPr="00C3365E" w:rsidRDefault="00C3365E" w:rsidP="00C3365E">
      <w:pPr>
        <w:rPr>
          <w:rFonts w:ascii="Arial" w:hAnsi="Arial" w:cs="Arial"/>
          <w:b/>
          <w:color w:val="000000"/>
          <w:szCs w:val="24"/>
        </w:rPr>
      </w:pP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p>
    <w:p w14:paraId="3AD75B87" w14:textId="77777777" w:rsidR="00C3365E" w:rsidRPr="00C3365E" w:rsidRDefault="00C3365E" w:rsidP="00C3365E">
      <w:pPr>
        <w:rPr>
          <w:rFonts w:ascii="Arial" w:hAnsi="Arial" w:cs="Arial"/>
          <w:b/>
          <w:color w:val="000000"/>
          <w:szCs w:val="24"/>
        </w:rPr>
      </w:pP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p>
    <w:p w14:paraId="16075953" w14:textId="72DF10D9" w:rsidR="00C3365E" w:rsidRPr="00C3365E" w:rsidRDefault="00C3365E" w:rsidP="00C3365E">
      <w:pPr>
        <w:rPr>
          <w:rFonts w:ascii="Arial" w:hAnsi="Arial" w:cs="Arial"/>
          <w:b/>
          <w:color w:val="000000"/>
          <w:szCs w:val="24"/>
        </w:rPr>
      </w:pP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r w:rsidRPr="00C3365E">
        <w:rPr>
          <w:rFonts w:ascii="Arial" w:hAnsi="Arial" w:cs="Arial"/>
          <w:b/>
          <w:color w:val="000000"/>
          <w:szCs w:val="24"/>
        </w:rPr>
        <w:tab/>
      </w:r>
    </w:p>
    <w:p w14:paraId="491C4DDA" w14:textId="77777777" w:rsidR="002B7D83" w:rsidRDefault="002B7D83" w:rsidP="00802E99">
      <w:pPr>
        <w:rPr>
          <w:rFonts w:ascii="Arial" w:hAnsi="Arial" w:cs="Arial"/>
          <w:color w:val="000000"/>
          <w:szCs w:val="24"/>
        </w:rPr>
      </w:pPr>
    </w:p>
    <w:p w14:paraId="5DE39184" w14:textId="77777777" w:rsidR="002B7D83" w:rsidRDefault="002B7D83" w:rsidP="00802E99">
      <w:pPr>
        <w:rPr>
          <w:rFonts w:ascii="Arial" w:hAnsi="Arial" w:cs="Arial"/>
          <w:color w:val="000000"/>
          <w:szCs w:val="24"/>
        </w:rPr>
      </w:pPr>
    </w:p>
    <w:p w14:paraId="5FFB42C5" w14:textId="77777777" w:rsidR="004141F3" w:rsidRDefault="004141F3" w:rsidP="00802E99">
      <w:pPr>
        <w:rPr>
          <w:rFonts w:ascii="Arial" w:hAnsi="Arial" w:cs="Arial"/>
          <w:color w:val="000000"/>
          <w:szCs w:val="24"/>
        </w:rPr>
      </w:pPr>
    </w:p>
    <w:p w14:paraId="453D6E9C" w14:textId="77777777" w:rsidR="004141F3" w:rsidRDefault="004141F3" w:rsidP="00802E99">
      <w:pPr>
        <w:rPr>
          <w:rFonts w:ascii="Arial" w:hAnsi="Arial" w:cs="Arial"/>
          <w:color w:val="000000"/>
          <w:szCs w:val="24"/>
        </w:rPr>
      </w:pPr>
    </w:p>
    <w:p w14:paraId="4F1D4F74" w14:textId="77777777" w:rsidR="002B7D83" w:rsidRDefault="002B7D83" w:rsidP="00802E99">
      <w:pPr>
        <w:rPr>
          <w:rFonts w:ascii="Arial" w:hAnsi="Arial" w:cs="Arial"/>
          <w:color w:val="000000"/>
          <w:szCs w:val="24"/>
        </w:rPr>
      </w:pPr>
    </w:p>
    <w:p w14:paraId="338763B0" w14:textId="77777777" w:rsidR="00802E99" w:rsidRPr="0010159A" w:rsidRDefault="00802E99" w:rsidP="00802E99">
      <w:pPr>
        <w:pStyle w:val="ARHeading2"/>
        <w:rPr>
          <w:i/>
        </w:rPr>
      </w:pPr>
      <w:bookmarkStart w:id="61" w:name="_Toc524709391"/>
      <w:bookmarkStart w:id="62" w:name="_Toc390680584"/>
      <w:bookmarkStart w:id="63" w:name="_Toc458802740"/>
      <w:r w:rsidRPr="0010159A">
        <w:lastRenderedPageBreak/>
        <w:t>3.4</w:t>
      </w:r>
      <w:r w:rsidRPr="0010159A">
        <w:tab/>
        <w:t>Investments</w:t>
      </w:r>
      <w:bookmarkEnd w:id="61"/>
      <w:r w:rsidRPr="0010159A">
        <w:t xml:space="preserve"> </w:t>
      </w:r>
      <w:bookmarkEnd w:id="62"/>
      <w:bookmarkEnd w:id="63"/>
      <w:r w:rsidRPr="0010159A">
        <w:t xml:space="preserve">  </w:t>
      </w:r>
    </w:p>
    <w:p w14:paraId="6C081EB7" w14:textId="77777777" w:rsidR="00802E99" w:rsidRDefault="00802E99" w:rsidP="00802E99">
      <w:pPr>
        <w:pStyle w:val="MaintextStyleGroup1"/>
        <w:spacing w:line="240" w:lineRule="auto"/>
        <w:jc w:val="both"/>
      </w:pPr>
    </w:p>
    <w:p w14:paraId="0E8F5323" w14:textId="77777777" w:rsidR="00802E99" w:rsidRPr="0010159A" w:rsidRDefault="00802E99" w:rsidP="00802E99">
      <w:pPr>
        <w:pStyle w:val="MaintextStyleGroup1"/>
        <w:spacing w:line="240" w:lineRule="auto"/>
        <w:jc w:val="both"/>
      </w:pPr>
      <w:r>
        <w:t>Total Investment Assets - $5.3</w:t>
      </w:r>
      <w:r w:rsidRPr="0010159A">
        <w:t xml:space="preserve"> billion</w:t>
      </w:r>
    </w:p>
    <w:p w14:paraId="2B75148C" w14:textId="77777777" w:rsidR="00802E99" w:rsidRPr="0010159A" w:rsidRDefault="00802E99" w:rsidP="00802E99">
      <w:pPr>
        <w:pStyle w:val="MaintextStyleGroup1"/>
        <w:spacing w:line="240" w:lineRule="auto"/>
        <w:jc w:val="both"/>
      </w:pPr>
      <w:r>
        <w:t>Investment Return – 9.1</w:t>
      </w:r>
      <w:r w:rsidRPr="0010159A">
        <w:t>%</w:t>
      </w:r>
    </w:p>
    <w:p w14:paraId="45A2067E" w14:textId="77777777" w:rsidR="00802E99" w:rsidRPr="0010159A" w:rsidRDefault="00802E99" w:rsidP="00802E99">
      <w:pPr>
        <w:pStyle w:val="MaintextStyleGroup1"/>
        <w:spacing w:line="240" w:lineRule="auto"/>
        <w:jc w:val="both"/>
      </w:pPr>
    </w:p>
    <w:p w14:paraId="73DFDC1F" w14:textId="77777777" w:rsidR="00802E99" w:rsidRDefault="00802E99" w:rsidP="00802E99">
      <w:pPr>
        <w:pStyle w:val="MaintextStyleGroup1"/>
      </w:pPr>
      <w:r>
        <w:t>The Insurance Commission’s main investment portfolio delivered a gross return of 9.4% for 2018. This return comprises investments in the Third Party Insurance Fund, RiskCover Fund, Insurance Commission General Fund, Government Insurance Fund and Compensation (Industrial Diseases) Fund. The total investment return for the Insurance Commission was 9.1% for the year, which is lower than the Main Fund as a high proportion of cash is held in the Motor Vehicle (Catastrophic Injuries) Fund.</w:t>
      </w:r>
    </w:p>
    <w:p w14:paraId="6E0C94FC" w14:textId="77777777" w:rsidR="00802E99" w:rsidRDefault="00802E99" w:rsidP="00802E99">
      <w:pPr>
        <w:pStyle w:val="MaintextStyleGroup1"/>
      </w:pPr>
    </w:p>
    <w:p w14:paraId="73BC6DF9" w14:textId="77777777" w:rsidR="00802E99" w:rsidRDefault="00802E99" w:rsidP="00802E99">
      <w:pPr>
        <w:pStyle w:val="MaintextStyleGroup1"/>
      </w:pPr>
      <w:r>
        <w:t>This investment return is an encouraging result as the Insurance Commission has allocated 40% to Equities which is materially lower than the asset allocation to Equities of most superannuation funds.</w:t>
      </w:r>
    </w:p>
    <w:p w14:paraId="1ED3CEFD" w14:textId="77777777" w:rsidR="00802E99" w:rsidRDefault="00802E99" w:rsidP="00802E99">
      <w:pPr>
        <w:pStyle w:val="MaintextStyleGroup1"/>
      </w:pPr>
    </w:p>
    <w:p w14:paraId="3EB8782F" w14:textId="77777777" w:rsidR="00802E99" w:rsidRDefault="00802E99" w:rsidP="00802E99">
      <w:pPr>
        <w:pStyle w:val="MaintextStyleGroup1"/>
      </w:pPr>
      <w:r>
        <w:t>The Main Fund return of 9.4% exceeded the market benchmark by 0.1%. Australian Equities (15.4%), Property (14.7%), Alternative Assets (7.0%), Fixed Interest (3.5%) and Cash (2.2%) returns were all above benchmark. Global Equities performance was a strong 13.6% but underperformed the benchmark by 1.4%.</w:t>
      </w:r>
    </w:p>
    <w:p w14:paraId="45E7665C" w14:textId="77777777" w:rsidR="00802E99" w:rsidRDefault="00802E99" w:rsidP="00802E99">
      <w:pPr>
        <w:pStyle w:val="MaintextStyleGroup1"/>
      </w:pPr>
    </w:p>
    <w:p w14:paraId="594EB59B" w14:textId="77777777" w:rsidR="00802E99" w:rsidRDefault="00802E99" w:rsidP="00802E99">
      <w:pPr>
        <w:pStyle w:val="MaintextStyleGroup1"/>
      </w:pPr>
      <w:r>
        <w:t xml:space="preserve">The MVCIF return was 4.6%, which reflects the Insurance Commission’s phased approach to implement that Fund’s investment strategy. It is expected the long-term asset allocation for the MVCIF will be completed by 2019. The MVCIF investment strategy is different to the Main Fund investment strategy due to the longer-tail duration of MVCIF liabilities for care costs incurred over the lifetime of a CIS scheme claimant compared to shorter duration Main Fund claims. </w:t>
      </w:r>
    </w:p>
    <w:p w14:paraId="3B99E183" w14:textId="77777777" w:rsidR="00802E99" w:rsidRDefault="00802E99" w:rsidP="00802E99">
      <w:pPr>
        <w:pStyle w:val="MaintextStyleGroup1"/>
      </w:pPr>
    </w:p>
    <w:p w14:paraId="196D2F24" w14:textId="77777777" w:rsidR="00802E99" w:rsidRPr="0010159A" w:rsidRDefault="00802E99" w:rsidP="00802E99">
      <w:pPr>
        <w:pStyle w:val="MaintextStyleGroup1"/>
        <w:spacing w:line="240" w:lineRule="auto"/>
        <w:jc w:val="both"/>
        <w:rPr>
          <w:lang w:val="en-AU"/>
        </w:rPr>
      </w:pPr>
      <w:r>
        <w:t>The Insurance Commission’s rolling seven-year return was 8.4%, which was 2.9% above the Consumer Price Index plus 3.5% performance objective. The total value of investment funds held by the Insurance Commission to offset insurance liabilities has grown from $4.4 billion at 30 June 2015 to $5.3 billion at 30 June 2018, an increase of $900 million.</w:t>
      </w:r>
      <w:r w:rsidRPr="0010159A">
        <w:t xml:space="preserve"> </w:t>
      </w:r>
      <w:r>
        <w:t>Over this period, the strong growth in the investment portfolio has supported dividend payments of $398 million and a $97.7 million return of capital from the RiskCover Fund.</w:t>
      </w:r>
    </w:p>
    <w:p w14:paraId="0CB635AC" w14:textId="77777777" w:rsidR="00802E99" w:rsidRPr="0010159A" w:rsidRDefault="00802E99" w:rsidP="00802E99">
      <w:pPr>
        <w:pStyle w:val="MaintextStyleGroup1"/>
        <w:spacing w:line="240" w:lineRule="auto"/>
        <w:jc w:val="both"/>
      </w:pPr>
    </w:p>
    <w:p w14:paraId="4535C6CC" w14:textId="77777777" w:rsidR="00802E99" w:rsidRPr="00337366" w:rsidRDefault="00802E99" w:rsidP="00802E99">
      <w:pPr>
        <w:pStyle w:val="MaintextStyleGroup1"/>
        <w:spacing w:line="240" w:lineRule="auto"/>
        <w:jc w:val="both"/>
        <w:rPr>
          <w:b/>
          <w:sz w:val="28"/>
          <w:szCs w:val="28"/>
        </w:rPr>
      </w:pPr>
      <w:r w:rsidRPr="00337366">
        <w:rPr>
          <w:b/>
          <w:sz w:val="28"/>
          <w:szCs w:val="28"/>
        </w:rPr>
        <w:t>Financial Market Overview</w:t>
      </w:r>
    </w:p>
    <w:p w14:paraId="3B186C9B" w14:textId="77777777" w:rsidR="00802E99" w:rsidRDefault="00802E99" w:rsidP="00802E99">
      <w:pPr>
        <w:rPr>
          <w:rFonts w:ascii="Arial" w:hAnsi="Arial" w:cs="Arial"/>
          <w:color w:val="000000"/>
          <w:szCs w:val="24"/>
          <w:lang w:val="en-GB" w:eastAsia="en-GB"/>
        </w:rPr>
      </w:pPr>
      <w:r w:rsidRPr="00DB7716">
        <w:rPr>
          <w:rFonts w:ascii="Arial" w:hAnsi="Arial" w:cs="Arial"/>
          <w:color w:val="000000"/>
          <w:szCs w:val="24"/>
          <w:lang w:val="en-GB" w:eastAsia="en-GB"/>
        </w:rPr>
        <w:t xml:space="preserve">The 2018 financial year started strongly for financial markets </w:t>
      </w:r>
      <w:r>
        <w:rPr>
          <w:rFonts w:ascii="Arial" w:hAnsi="Arial" w:cs="Arial"/>
          <w:color w:val="000000"/>
          <w:szCs w:val="24"/>
          <w:lang w:val="en-GB" w:eastAsia="en-GB"/>
        </w:rPr>
        <w:t xml:space="preserve">due to </w:t>
      </w:r>
      <w:r w:rsidRPr="00DB7716">
        <w:rPr>
          <w:rFonts w:ascii="Arial" w:hAnsi="Arial" w:cs="Arial"/>
          <w:color w:val="000000"/>
          <w:szCs w:val="24"/>
          <w:lang w:val="en-GB" w:eastAsia="en-GB"/>
        </w:rPr>
        <w:t>strong global economic growth</w:t>
      </w:r>
      <w:r>
        <w:rPr>
          <w:rFonts w:ascii="Arial" w:hAnsi="Arial" w:cs="Arial"/>
          <w:color w:val="000000"/>
          <w:szCs w:val="24"/>
          <w:lang w:val="en-GB" w:eastAsia="en-GB"/>
        </w:rPr>
        <w:t>,</w:t>
      </w:r>
      <w:r w:rsidRPr="00DB7716">
        <w:rPr>
          <w:rFonts w:ascii="Arial" w:hAnsi="Arial" w:cs="Arial"/>
          <w:color w:val="000000"/>
          <w:szCs w:val="24"/>
          <w:lang w:val="en-GB" w:eastAsia="en-GB"/>
        </w:rPr>
        <w:t xml:space="preserve"> </w:t>
      </w:r>
      <w:r>
        <w:rPr>
          <w:rFonts w:ascii="Arial" w:hAnsi="Arial" w:cs="Arial"/>
          <w:color w:val="000000"/>
          <w:szCs w:val="24"/>
          <w:lang w:val="en-GB" w:eastAsia="en-GB"/>
        </w:rPr>
        <w:t>positive</w:t>
      </w:r>
      <w:r w:rsidRPr="00DB7716">
        <w:rPr>
          <w:rFonts w:ascii="Arial" w:hAnsi="Arial" w:cs="Arial"/>
          <w:color w:val="000000"/>
          <w:szCs w:val="24"/>
          <w:lang w:val="en-GB" w:eastAsia="en-GB"/>
        </w:rPr>
        <w:t xml:space="preserve"> corporate earnings results and </w:t>
      </w:r>
      <w:r>
        <w:rPr>
          <w:rFonts w:ascii="Arial" w:hAnsi="Arial" w:cs="Arial"/>
          <w:color w:val="000000"/>
          <w:szCs w:val="24"/>
          <w:lang w:val="en-GB" w:eastAsia="en-GB"/>
        </w:rPr>
        <w:t xml:space="preserve">the announcement of </w:t>
      </w:r>
      <w:r w:rsidRPr="00DB7716">
        <w:rPr>
          <w:rFonts w:ascii="Arial" w:hAnsi="Arial" w:cs="Arial"/>
          <w:color w:val="000000"/>
          <w:szCs w:val="24"/>
          <w:lang w:val="en-GB" w:eastAsia="en-GB"/>
        </w:rPr>
        <w:t>U</w:t>
      </w:r>
      <w:r>
        <w:rPr>
          <w:rFonts w:ascii="Arial" w:hAnsi="Arial" w:cs="Arial"/>
          <w:color w:val="000000"/>
          <w:szCs w:val="24"/>
          <w:lang w:val="en-GB" w:eastAsia="en-GB"/>
        </w:rPr>
        <w:t xml:space="preserve">nited </w:t>
      </w:r>
      <w:r w:rsidRPr="00DB7716">
        <w:rPr>
          <w:rFonts w:ascii="Arial" w:hAnsi="Arial" w:cs="Arial"/>
          <w:color w:val="000000"/>
          <w:szCs w:val="24"/>
          <w:lang w:val="en-GB" w:eastAsia="en-GB"/>
        </w:rPr>
        <w:t>S</w:t>
      </w:r>
      <w:r>
        <w:rPr>
          <w:rFonts w:ascii="Arial" w:hAnsi="Arial" w:cs="Arial"/>
          <w:color w:val="000000"/>
          <w:szCs w:val="24"/>
          <w:lang w:val="en-GB" w:eastAsia="en-GB"/>
        </w:rPr>
        <w:t>tates</w:t>
      </w:r>
      <w:r w:rsidRPr="00DB7716">
        <w:rPr>
          <w:rFonts w:ascii="Arial" w:hAnsi="Arial" w:cs="Arial"/>
          <w:color w:val="000000"/>
          <w:szCs w:val="24"/>
          <w:lang w:val="en-GB" w:eastAsia="en-GB"/>
        </w:rPr>
        <w:t xml:space="preserve"> tax reform</w:t>
      </w:r>
      <w:r>
        <w:rPr>
          <w:rFonts w:ascii="Arial" w:hAnsi="Arial" w:cs="Arial"/>
          <w:color w:val="000000"/>
          <w:szCs w:val="24"/>
          <w:lang w:val="en-GB" w:eastAsia="en-GB"/>
        </w:rPr>
        <w:t xml:space="preserve"> more than offsetting geopolitical tensions. Global Equities performed strongly for the first seven months of the year, which led the Morgan Stanley Composite Indices All Country World Index (an index measuring equity returns in 23 developed and 24 emerging markets internationally) to peak at 550.32 on 26 January 2018. A large portion of this gain was unwound by a sell-off in February 2018, sparked by increased volatility resulting from rising tensions between the United States and North Korea and increasing global trade tensions. Despite tensions between both nations receding, the trade rhetoric increased throughout the remainder of the year and Global Equity markets ended 30 June broadly unchanged from their February </w:t>
      </w:r>
      <w:r>
        <w:rPr>
          <w:rFonts w:ascii="Arial" w:hAnsi="Arial" w:cs="Arial"/>
          <w:color w:val="000000"/>
          <w:szCs w:val="24"/>
          <w:lang w:val="en-GB" w:eastAsia="en-GB"/>
        </w:rPr>
        <w:lastRenderedPageBreak/>
        <w:t xml:space="preserve">levels. Notwithstanding this, there were some equity markets, including </w:t>
      </w:r>
      <w:proofErr w:type="gramStart"/>
      <w:r>
        <w:rPr>
          <w:rFonts w:ascii="Arial" w:hAnsi="Arial" w:cs="Arial"/>
          <w:color w:val="000000"/>
          <w:szCs w:val="24"/>
          <w:lang w:val="en-GB" w:eastAsia="en-GB"/>
        </w:rPr>
        <w:t>Australia, that</w:t>
      </w:r>
      <w:proofErr w:type="gramEnd"/>
      <w:r>
        <w:rPr>
          <w:rFonts w:ascii="Arial" w:hAnsi="Arial" w:cs="Arial"/>
          <w:color w:val="000000"/>
          <w:szCs w:val="24"/>
          <w:lang w:val="en-GB" w:eastAsia="en-GB"/>
        </w:rPr>
        <w:t xml:space="preserve"> performed well during this period.  </w:t>
      </w:r>
    </w:p>
    <w:p w14:paraId="330B50C0" w14:textId="77777777" w:rsidR="00802E99" w:rsidRDefault="00802E99" w:rsidP="00802E99">
      <w:pPr>
        <w:rPr>
          <w:rFonts w:ascii="Arial" w:hAnsi="Arial" w:cs="Arial"/>
          <w:color w:val="000000"/>
          <w:szCs w:val="24"/>
          <w:lang w:val="en-GB" w:eastAsia="en-GB"/>
        </w:rPr>
      </w:pPr>
    </w:p>
    <w:p w14:paraId="54259271" w14:textId="77777777" w:rsidR="00802E99" w:rsidRPr="00DB7716" w:rsidRDefault="00802E99" w:rsidP="00802E99">
      <w:pPr>
        <w:rPr>
          <w:rFonts w:ascii="Arial" w:hAnsi="Arial" w:cs="Arial"/>
          <w:color w:val="000000"/>
          <w:szCs w:val="24"/>
          <w:lang w:val="en-GB" w:eastAsia="en-GB"/>
        </w:rPr>
      </w:pPr>
      <w:r w:rsidRPr="00DB7716">
        <w:rPr>
          <w:rFonts w:ascii="Arial" w:hAnsi="Arial" w:cs="Arial"/>
          <w:color w:val="000000"/>
          <w:szCs w:val="24"/>
          <w:lang w:val="en-GB" w:eastAsia="en-GB"/>
        </w:rPr>
        <w:t>For the year ended 30 June 2018, Global Equity market</w:t>
      </w:r>
      <w:r>
        <w:rPr>
          <w:rFonts w:ascii="Arial" w:hAnsi="Arial" w:cs="Arial"/>
          <w:color w:val="000000"/>
          <w:szCs w:val="24"/>
          <w:lang w:val="en-GB" w:eastAsia="en-GB"/>
        </w:rPr>
        <w:t>s</w:t>
      </w:r>
      <w:r w:rsidRPr="00DB7716">
        <w:rPr>
          <w:rFonts w:ascii="Arial" w:hAnsi="Arial" w:cs="Arial"/>
          <w:color w:val="000000"/>
          <w:szCs w:val="24"/>
          <w:lang w:val="en-GB" w:eastAsia="en-GB"/>
        </w:rPr>
        <w:t xml:space="preserve"> w</w:t>
      </w:r>
      <w:r>
        <w:rPr>
          <w:rFonts w:ascii="Arial" w:hAnsi="Arial" w:cs="Arial"/>
          <w:color w:val="000000"/>
          <w:szCs w:val="24"/>
          <w:lang w:val="en-GB" w:eastAsia="en-GB"/>
        </w:rPr>
        <w:t>ere</w:t>
      </w:r>
      <w:r w:rsidRPr="00DB7716">
        <w:rPr>
          <w:rFonts w:ascii="Arial" w:hAnsi="Arial" w:cs="Arial"/>
          <w:color w:val="000000"/>
          <w:szCs w:val="24"/>
          <w:lang w:val="en-GB" w:eastAsia="en-GB"/>
        </w:rPr>
        <w:t xml:space="preserve"> up 15%, the Australian Equity market was up 13.3% and Property </w:t>
      </w:r>
      <w:r>
        <w:rPr>
          <w:rFonts w:ascii="Arial" w:hAnsi="Arial" w:cs="Arial"/>
          <w:color w:val="000000"/>
          <w:szCs w:val="24"/>
          <w:lang w:val="en-GB" w:eastAsia="en-GB"/>
        </w:rPr>
        <w:t>markets were</w:t>
      </w:r>
      <w:r w:rsidRPr="00DB7716">
        <w:rPr>
          <w:rFonts w:ascii="Arial" w:hAnsi="Arial" w:cs="Arial"/>
          <w:color w:val="000000"/>
          <w:szCs w:val="24"/>
          <w:lang w:val="en-GB" w:eastAsia="en-GB"/>
        </w:rPr>
        <w:t xml:space="preserve"> up 12%. At the same time, Global Bond markets returned 1.9%, the Australian Bond market returned 3.1% and Cash returned 1.8%.</w:t>
      </w:r>
    </w:p>
    <w:p w14:paraId="406FD7D6" w14:textId="77777777" w:rsidR="00802E99" w:rsidRPr="00DB7716" w:rsidRDefault="00802E99" w:rsidP="00802E99">
      <w:pPr>
        <w:rPr>
          <w:rFonts w:ascii="Arial" w:hAnsi="Arial" w:cs="Arial"/>
          <w:color w:val="000000"/>
          <w:szCs w:val="24"/>
          <w:lang w:val="en-GB" w:eastAsia="en-GB"/>
        </w:rPr>
      </w:pPr>
    </w:p>
    <w:p w14:paraId="1DB7FDF8" w14:textId="77777777" w:rsidR="00802E99" w:rsidRDefault="00802E99" w:rsidP="00802E99">
      <w:pPr>
        <w:rPr>
          <w:rFonts w:ascii="Arial" w:hAnsi="Arial" w:cs="Arial"/>
          <w:color w:val="000000"/>
          <w:szCs w:val="24"/>
          <w:lang w:val="en-GB" w:eastAsia="en-GB"/>
        </w:rPr>
      </w:pPr>
      <w:r w:rsidRPr="00DB7716">
        <w:rPr>
          <w:rFonts w:ascii="Arial" w:hAnsi="Arial" w:cs="Arial"/>
          <w:color w:val="000000"/>
          <w:szCs w:val="24"/>
          <w:lang w:val="en-GB" w:eastAsia="en-GB"/>
        </w:rPr>
        <w:t xml:space="preserve">Despite signs of the rate of global economic growth cooling (potentially </w:t>
      </w:r>
      <w:r>
        <w:rPr>
          <w:rFonts w:ascii="Arial" w:hAnsi="Arial" w:cs="Arial"/>
          <w:color w:val="000000"/>
          <w:szCs w:val="24"/>
          <w:lang w:val="en-GB" w:eastAsia="en-GB"/>
        </w:rPr>
        <w:t xml:space="preserve">due </w:t>
      </w:r>
      <w:r w:rsidRPr="00DB7716">
        <w:rPr>
          <w:rFonts w:ascii="Arial" w:hAnsi="Arial" w:cs="Arial"/>
          <w:color w:val="000000"/>
          <w:szCs w:val="24"/>
          <w:lang w:val="en-GB" w:eastAsia="en-GB"/>
        </w:rPr>
        <w:t>to rising trade tensions</w:t>
      </w:r>
      <w:r>
        <w:rPr>
          <w:rFonts w:ascii="Arial" w:hAnsi="Arial" w:cs="Arial"/>
          <w:color w:val="000000"/>
          <w:szCs w:val="24"/>
          <w:lang w:val="en-GB" w:eastAsia="en-GB"/>
        </w:rPr>
        <w:t xml:space="preserve"> between the United States and China/Europe</w:t>
      </w:r>
      <w:r w:rsidRPr="00DB7716">
        <w:rPr>
          <w:rFonts w:ascii="Arial" w:hAnsi="Arial" w:cs="Arial"/>
          <w:color w:val="000000"/>
          <w:szCs w:val="24"/>
          <w:lang w:val="en-GB" w:eastAsia="en-GB"/>
        </w:rPr>
        <w:t xml:space="preserve">), the absolute rate of growth is </w:t>
      </w:r>
      <w:r>
        <w:rPr>
          <w:rFonts w:ascii="Arial" w:hAnsi="Arial" w:cs="Arial"/>
          <w:color w:val="000000"/>
          <w:szCs w:val="24"/>
          <w:lang w:val="en-GB" w:eastAsia="en-GB"/>
        </w:rPr>
        <w:t xml:space="preserve">anticipated to continue </w:t>
      </w:r>
      <w:r w:rsidRPr="00DB7716">
        <w:rPr>
          <w:rFonts w:ascii="Arial" w:hAnsi="Arial" w:cs="Arial"/>
          <w:color w:val="000000"/>
          <w:szCs w:val="24"/>
          <w:lang w:val="en-GB" w:eastAsia="en-GB"/>
        </w:rPr>
        <w:t>over the next 12 months</w:t>
      </w:r>
      <w:r>
        <w:rPr>
          <w:rFonts w:ascii="Arial" w:hAnsi="Arial" w:cs="Arial"/>
          <w:color w:val="000000"/>
          <w:szCs w:val="24"/>
          <w:lang w:val="en-GB" w:eastAsia="en-GB"/>
        </w:rPr>
        <w:t xml:space="preserve">. That growth is expected to drive an expansion in </w:t>
      </w:r>
      <w:r w:rsidRPr="00DB7716">
        <w:rPr>
          <w:rFonts w:ascii="Arial" w:hAnsi="Arial" w:cs="Arial"/>
          <w:color w:val="000000"/>
          <w:szCs w:val="24"/>
          <w:lang w:val="en-GB" w:eastAsia="en-GB"/>
        </w:rPr>
        <w:t xml:space="preserve">corporate earnings, valuations and asset prices. </w:t>
      </w:r>
      <w:r>
        <w:rPr>
          <w:rFonts w:ascii="Arial" w:hAnsi="Arial" w:cs="Arial"/>
          <w:color w:val="000000"/>
          <w:szCs w:val="24"/>
          <w:lang w:val="en-GB" w:eastAsia="en-GB"/>
        </w:rPr>
        <w:t xml:space="preserve">Central Banks are expected to tighten monetary policy.  </w:t>
      </w:r>
    </w:p>
    <w:p w14:paraId="3696C2AD" w14:textId="77777777" w:rsidR="00802E99" w:rsidRDefault="00802E99" w:rsidP="00802E99">
      <w:pPr>
        <w:rPr>
          <w:rFonts w:ascii="Arial" w:hAnsi="Arial" w:cs="Arial"/>
          <w:color w:val="000000"/>
          <w:szCs w:val="24"/>
          <w:lang w:val="en-GB" w:eastAsia="en-GB"/>
        </w:rPr>
      </w:pPr>
    </w:p>
    <w:p w14:paraId="50B7276F" w14:textId="77777777" w:rsidR="00802E99" w:rsidRDefault="00802E99" w:rsidP="00802E99">
      <w:pPr>
        <w:rPr>
          <w:rFonts w:ascii="Arial" w:hAnsi="Arial" w:cs="Arial"/>
          <w:color w:val="000000"/>
          <w:szCs w:val="24"/>
          <w:lang w:val="en-GB" w:eastAsia="en-GB"/>
        </w:rPr>
      </w:pPr>
      <w:r w:rsidRPr="00DB7716">
        <w:rPr>
          <w:rFonts w:ascii="Arial" w:hAnsi="Arial" w:cs="Arial"/>
          <w:color w:val="000000"/>
          <w:szCs w:val="24"/>
          <w:lang w:val="en-GB" w:eastAsia="en-GB"/>
        </w:rPr>
        <w:t>With the Australian inflation rate at or below the lower bound of the Reserve Bank of Australia</w:t>
      </w:r>
      <w:r>
        <w:rPr>
          <w:rFonts w:ascii="Arial" w:hAnsi="Arial" w:cs="Arial"/>
          <w:color w:val="000000"/>
          <w:szCs w:val="24"/>
          <w:lang w:val="en-GB" w:eastAsia="en-GB"/>
        </w:rPr>
        <w:t>’s</w:t>
      </w:r>
      <w:r w:rsidRPr="00DB7716">
        <w:rPr>
          <w:rFonts w:ascii="Arial" w:hAnsi="Arial" w:cs="Arial"/>
          <w:color w:val="000000"/>
          <w:szCs w:val="24"/>
          <w:lang w:val="en-GB" w:eastAsia="en-GB"/>
        </w:rPr>
        <w:t xml:space="preserve"> range (2-3%), the </w:t>
      </w:r>
      <w:r>
        <w:rPr>
          <w:rFonts w:ascii="Arial" w:hAnsi="Arial" w:cs="Arial"/>
          <w:color w:val="000000"/>
          <w:szCs w:val="24"/>
          <w:lang w:val="en-GB" w:eastAsia="en-GB"/>
        </w:rPr>
        <w:t>bank</w:t>
      </w:r>
      <w:r w:rsidRPr="00DB7716">
        <w:rPr>
          <w:rFonts w:ascii="Arial" w:hAnsi="Arial" w:cs="Arial"/>
          <w:color w:val="000000"/>
          <w:szCs w:val="24"/>
          <w:lang w:val="en-GB" w:eastAsia="en-GB"/>
        </w:rPr>
        <w:t xml:space="preserve"> is not expected to increase interest rates </w:t>
      </w:r>
      <w:r>
        <w:rPr>
          <w:rFonts w:ascii="Arial" w:hAnsi="Arial" w:cs="Arial"/>
          <w:color w:val="000000"/>
          <w:szCs w:val="24"/>
          <w:lang w:val="en-GB" w:eastAsia="en-GB"/>
        </w:rPr>
        <w:t xml:space="preserve">in the short term. </w:t>
      </w:r>
    </w:p>
    <w:p w14:paraId="1D70BD32" w14:textId="77777777" w:rsidR="00802E99" w:rsidRDefault="00802E99" w:rsidP="00802E99">
      <w:pPr>
        <w:rPr>
          <w:rFonts w:ascii="Arial" w:hAnsi="Arial" w:cs="Arial"/>
          <w:color w:val="000000"/>
          <w:szCs w:val="24"/>
          <w:lang w:val="en-GB" w:eastAsia="en-GB"/>
        </w:rPr>
      </w:pPr>
    </w:p>
    <w:p w14:paraId="0916E1E9" w14:textId="77777777" w:rsidR="00802E99" w:rsidRDefault="00802E99" w:rsidP="00802E99">
      <w:pPr>
        <w:rPr>
          <w:rFonts w:ascii="Arial" w:hAnsi="Arial" w:cs="Arial"/>
          <w:color w:val="000000"/>
          <w:szCs w:val="24"/>
          <w:lang w:val="en-GB" w:eastAsia="en-GB"/>
        </w:rPr>
      </w:pPr>
      <w:r w:rsidRPr="00DB7716">
        <w:rPr>
          <w:rFonts w:ascii="Arial" w:hAnsi="Arial" w:cs="Arial"/>
          <w:color w:val="000000"/>
          <w:szCs w:val="24"/>
          <w:lang w:val="en-GB" w:eastAsia="en-GB"/>
        </w:rPr>
        <w:t xml:space="preserve">In this environment, the Insurance Commission’s asset portfolio is expected to produce </w:t>
      </w:r>
      <w:r>
        <w:rPr>
          <w:rFonts w:ascii="Arial" w:hAnsi="Arial" w:cs="Arial"/>
          <w:color w:val="000000"/>
          <w:szCs w:val="24"/>
          <w:lang w:val="en-GB" w:eastAsia="en-GB"/>
        </w:rPr>
        <w:t xml:space="preserve">a 5.5% return </w:t>
      </w:r>
      <w:r w:rsidRPr="00DB7716">
        <w:rPr>
          <w:rFonts w:ascii="Arial" w:hAnsi="Arial" w:cs="Arial"/>
          <w:color w:val="000000"/>
          <w:szCs w:val="24"/>
          <w:lang w:val="en-GB" w:eastAsia="en-GB"/>
        </w:rPr>
        <w:t xml:space="preserve">over the coming </w:t>
      </w:r>
      <w:r>
        <w:rPr>
          <w:rFonts w:ascii="Arial" w:hAnsi="Arial" w:cs="Arial"/>
          <w:color w:val="000000"/>
          <w:szCs w:val="24"/>
          <w:lang w:val="en-GB" w:eastAsia="en-GB"/>
        </w:rPr>
        <w:t>12 months</w:t>
      </w:r>
      <w:r w:rsidRPr="00DB7716">
        <w:rPr>
          <w:rFonts w:ascii="Arial" w:hAnsi="Arial" w:cs="Arial"/>
          <w:color w:val="000000"/>
          <w:szCs w:val="24"/>
          <w:lang w:val="en-GB" w:eastAsia="en-GB"/>
        </w:rPr>
        <w:t>.</w:t>
      </w:r>
    </w:p>
    <w:p w14:paraId="4DE56AB4" w14:textId="77777777" w:rsidR="00802E99" w:rsidRPr="00FB61D3" w:rsidRDefault="00802E99" w:rsidP="00802E99">
      <w:pPr>
        <w:rPr>
          <w:rFonts w:ascii="Arial" w:hAnsi="Arial" w:cs="Arial"/>
          <w:noProof/>
          <w:color w:val="000000"/>
          <w:lang w:val="en-GB" w:eastAsia="en-AU"/>
        </w:rPr>
      </w:pPr>
    </w:p>
    <w:p w14:paraId="753B6B08" w14:textId="77777777" w:rsidR="00802E99" w:rsidRPr="00FB61D3" w:rsidRDefault="00802E99" w:rsidP="00802E99">
      <w:pPr>
        <w:jc w:val="center"/>
        <w:rPr>
          <w:rFonts w:ascii="Arial" w:hAnsi="Arial" w:cs="Arial"/>
          <w:noProof/>
          <w:color w:val="000000"/>
          <w:lang w:val="en-GB" w:eastAsia="en-AU"/>
        </w:rPr>
      </w:pPr>
      <w:r>
        <w:rPr>
          <w:noProof/>
          <w:lang w:eastAsia="en-AU"/>
        </w:rPr>
        <w:drawing>
          <wp:inline distT="0" distB="0" distL="0" distR="0" wp14:anchorId="7F388CCD" wp14:editId="377E93C7">
            <wp:extent cx="5731510" cy="2727325"/>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86047A" w14:textId="77777777" w:rsidR="00802E99" w:rsidRPr="00FB61D3" w:rsidRDefault="00802E99" w:rsidP="00802E99">
      <w:pPr>
        <w:rPr>
          <w:rFonts w:ascii="Arial" w:hAnsi="Arial" w:cs="Arial"/>
          <w:noProof/>
          <w:color w:val="000000"/>
          <w:lang w:val="en-GB" w:eastAsia="en-AU"/>
        </w:rPr>
      </w:pPr>
    </w:p>
    <w:p w14:paraId="47666575" w14:textId="4CE3C42D" w:rsidR="00802E99" w:rsidRPr="004141F3" w:rsidRDefault="004141F3" w:rsidP="00802E99">
      <w:pPr>
        <w:rPr>
          <w:rFonts w:ascii="Arial" w:hAnsi="Arial" w:cs="Arial"/>
          <w:b/>
          <w:noProof/>
          <w:color w:val="000000"/>
          <w:szCs w:val="24"/>
          <w:lang w:val="en-GB" w:eastAsia="en-AU"/>
        </w:rPr>
      </w:pPr>
      <w:r w:rsidRPr="004141F3">
        <w:rPr>
          <w:rFonts w:ascii="Arial" w:hAnsi="Arial" w:cs="Arial"/>
          <w:b/>
          <w:noProof/>
          <w:color w:val="000000"/>
          <w:szCs w:val="24"/>
          <w:lang w:val="en-GB" w:eastAsia="en-AU"/>
        </w:rPr>
        <w:t>C</w:t>
      </w:r>
      <w:r w:rsidR="00802E99" w:rsidRPr="004141F3">
        <w:rPr>
          <w:rFonts w:ascii="Arial" w:hAnsi="Arial" w:cs="Arial"/>
          <w:b/>
          <w:noProof/>
          <w:color w:val="000000"/>
          <w:szCs w:val="24"/>
          <w:lang w:val="en-GB" w:eastAsia="en-AU"/>
        </w:rPr>
        <w:t>om</w:t>
      </w:r>
      <w:r w:rsidRPr="004141F3">
        <w:rPr>
          <w:rFonts w:ascii="Arial" w:hAnsi="Arial" w:cs="Arial"/>
          <w:b/>
          <w:noProof/>
          <w:color w:val="000000"/>
          <w:szCs w:val="24"/>
          <w:lang w:val="en-GB" w:eastAsia="en-AU"/>
        </w:rPr>
        <w:t>pound Returns for the Main Fund</w:t>
      </w:r>
    </w:p>
    <w:p w14:paraId="3E4F08A1" w14:textId="422E133B" w:rsidR="00802E99" w:rsidRDefault="00802E99" w:rsidP="00802E99">
      <w:pPr>
        <w:pStyle w:val="ListParagraph"/>
        <w:numPr>
          <w:ilvl w:val="0"/>
          <w:numId w:val="32"/>
        </w:numPr>
        <w:rPr>
          <w:rFonts w:ascii="Arial" w:hAnsi="Arial" w:cs="Arial"/>
          <w:noProof/>
          <w:color w:val="000000"/>
          <w:lang w:val="en-GB" w:eastAsia="en-AU"/>
        </w:rPr>
      </w:pPr>
      <w:r w:rsidRPr="00462175">
        <w:rPr>
          <w:rFonts w:ascii="Arial" w:hAnsi="Arial" w:cs="Arial"/>
          <w:noProof/>
          <w:color w:val="000000"/>
          <w:lang w:val="en-GB" w:eastAsia="en-AU"/>
        </w:rPr>
        <w:t>5-year re</w:t>
      </w:r>
      <w:r w:rsidR="004141F3">
        <w:rPr>
          <w:rFonts w:ascii="Arial" w:hAnsi="Arial" w:cs="Arial"/>
          <w:noProof/>
          <w:color w:val="000000"/>
          <w:lang w:val="en-GB" w:eastAsia="en-AU"/>
        </w:rPr>
        <w:t>turn of 48.8% (or $1.8 billion)</w:t>
      </w:r>
    </w:p>
    <w:p w14:paraId="790ADB22" w14:textId="7CA49C2A" w:rsidR="00802E99" w:rsidRPr="00462175" w:rsidRDefault="00802E99" w:rsidP="00802E99">
      <w:pPr>
        <w:pStyle w:val="ListParagraph"/>
        <w:numPr>
          <w:ilvl w:val="0"/>
          <w:numId w:val="32"/>
        </w:numPr>
        <w:rPr>
          <w:rFonts w:ascii="Arial" w:hAnsi="Arial" w:cs="Arial"/>
          <w:noProof/>
          <w:color w:val="000000"/>
          <w:lang w:val="en-GB" w:eastAsia="en-AU"/>
        </w:rPr>
      </w:pPr>
      <w:r w:rsidRPr="00462175">
        <w:rPr>
          <w:rFonts w:ascii="Arial" w:hAnsi="Arial" w:cs="Arial"/>
          <w:noProof/>
          <w:color w:val="000000"/>
          <w:lang w:val="en-GB" w:eastAsia="en-AU"/>
        </w:rPr>
        <w:t>6-year return of 70.9% (or $2.2 billion)</w:t>
      </w:r>
    </w:p>
    <w:p w14:paraId="30858E9B" w14:textId="77777777" w:rsidR="00802E99" w:rsidRDefault="00802E99" w:rsidP="00802E99">
      <w:pPr>
        <w:rPr>
          <w:rFonts w:ascii="Arial" w:hAnsi="Arial" w:cs="Arial"/>
          <w:noProof/>
          <w:color w:val="000000"/>
          <w:lang w:val="en-GB" w:eastAsia="en-AU"/>
        </w:rPr>
      </w:pPr>
    </w:p>
    <w:p w14:paraId="0EBC8F7A" w14:textId="05757DDB" w:rsidR="00802E99" w:rsidRDefault="004141F3" w:rsidP="00802E99">
      <w:pPr>
        <w:rPr>
          <w:rFonts w:ascii="Arial" w:hAnsi="Arial" w:cs="Arial"/>
          <w:noProof/>
          <w:color w:val="000000"/>
          <w:szCs w:val="24"/>
          <w:lang w:val="en-GB" w:eastAsia="en-AU"/>
        </w:rPr>
      </w:pPr>
      <w:r>
        <w:rPr>
          <w:rFonts w:ascii="Arial" w:hAnsi="Arial" w:cs="Arial"/>
          <w:noProof/>
          <w:color w:val="000000"/>
          <w:lang w:val="en-GB" w:eastAsia="en-AU"/>
        </w:rPr>
        <w:t>Compound returns have helped drive long-term growth in the Insurance Commission’s investment assets, and reflects the quality of the investment portfolio and the investment strategy.</w:t>
      </w:r>
    </w:p>
    <w:p w14:paraId="72D8F384" w14:textId="77777777" w:rsidR="00802E99" w:rsidRDefault="00802E99" w:rsidP="00802E99">
      <w:pPr>
        <w:rPr>
          <w:rFonts w:ascii="Arial" w:hAnsi="Arial" w:cs="Arial"/>
          <w:noProof/>
          <w:color w:val="000000"/>
          <w:szCs w:val="24"/>
          <w:lang w:val="en-GB" w:eastAsia="en-AU"/>
        </w:rPr>
      </w:pPr>
    </w:p>
    <w:p w14:paraId="0802F1A3" w14:textId="77777777" w:rsidR="00802E99" w:rsidRPr="00FB61D3" w:rsidRDefault="00802E99" w:rsidP="00802E99">
      <w:pPr>
        <w:rPr>
          <w:rFonts w:ascii="Arial" w:hAnsi="Arial" w:cs="Arial"/>
        </w:rPr>
      </w:pPr>
    </w:p>
    <w:p w14:paraId="73FCB63B" w14:textId="77777777" w:rsidR="00802E99" w:rsidRPr="00FB61D3" w:rsidRDefault="00802E99" w:rsidP="00802E99">
      <w:pPr>
        <w:rPr>
          <w:rFonts w:ascii="Arial" w:hAnsi="Arial" w:cs="Arial"/>
        </w:rPr>
      </w:pPr>
      <w:r>
        <w:rPr>
          <w:noProof/>
          <w:lang w:eastAsia="en-AU"/>
        </w:rPr>
        <w:lastRenderedPageBreak/>
        <w:drawing>
          <wp:inline distT="0" distB="0" distL="0" distR="0" wp14:anchorId="0DF80426" wp14:editId="7EC3EAE3">
            <wp:extent cx="5731510" cy="2201545"/>
            <wp:effectExtent l="0" t="0" r="2540"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0E7E23B" w14:textId="77777777" w:rsidR="00802E99" w:rsidRDefault="00802E99" w:rsidP="00802E99">
      <w:pPr>
        <w:pStyle w:val="MaintextStyleGroup1"/>
        <w:spacing w:line="240" w:lineRule="auto"/>
        <w:jc w:val="both"/>
        <w:rPr>
          <w:b/>
          <w:sz w:val="28"/>
          <w:szCs w:val="28"/>
          <w:lang w:val="en-AU"/>
        </w:rPr>
      </w:pPr>
    </w:p>
    <w:p w14:paraId="1ADEC162" w14:textId="77777777" w:rsidR="00802E99" w:rsidRPr="00337366" w:rsidRDefault="00802E99" w:rsidP="00802E99">
      <w:pPr>
        <w:pStyle w:val="MaintextStyleGroup1"/>
        <w:spacing w:line="240" w:lineRule="auto"/>
        <w:jc w:val="both"/>
        <w:rPr>
          <w:b/>
          <w:sz w:val="28"/>
          <w:szCs w:val="28"/>
          <w:lang w:val="en-AU"/>
        </w:rPr>
      </w:pPr>
      <w:r w:rsidRPr="00337366">
        <w:rPr>
          <w:b/>
          <w:sz w:val="28"/>
          <w:szCs w:val="28"/>
          <w:lang w:val="en-AU"/>
        </w:rPr>
        <w:t>Asset Allocation</w:t>
      </w:r>
    </w:p>
    <w:p w14:paraId="6EAD9F2C" w14:textId="77777777" w:rsidR="00802E99" w:rsidRDefault="00802E99" w:rsidP="00802E99">
      <w:pPr>
        <w:pStyle w:val="MaintextStyleGroup1"/>
        <w:spacing w:line="240" w:lineRule="auto"/>
        <w:jc w:val="both"/>
        <w:rPr>
          <w:lang w:val="en-AU"/>
        </w:rPr>
      </w:pPr>
      <w:r w:rsidRPr="00DB7716">
        <w:rPr>
          <w:lang w:val="en-AU"/>
        </w:rPr>
        <w:t>The Main Fund neutral strategic allocation to growth and defensive assets of 68% and 32% respectively was broadly maintained during 2018</w:t>
      </w:r>
      <w:r>
        <w:rPr>
          <w:lang w:val="en-AU"/>
        </w:rPr>
        <w:t xml:space="preserve"> due to active portfolio management</w:t>
      </w:r>
      <w:r w:rsidRPr="00DB7716">
        <w:rPr>
          <w:lang w:val="en-AU"/>
        </w:rPr>
        <w:t xml:space="preserve">. </w:t>
      </w:r>
      <w:r>
        <w:rPr>
          <w:lang w:val="en-AU"/>
        </w:rPr>
        <w:t xml:space="preserve">Following </w:t>
      </w:r>
      <w:r w:rsidRPr="00DB7716">
        <w:rPr>
          <w:lang w:val="en-AU"/>
        </w:rPr>
        <w:t xml:space="preserve">the sale </w:t>
      </w:r>
      <w:r>
        <w:rPr>
          <w:lang w:val="en-AU"/>
        </w:rPr>
        <w:t xml:space="preserve">of Westralia Square, the last directly held property asset of the Insurance Commission, the proceeds were reinvested into a diversified portfolio of externally-managed global and Australian property assets. </w:t>
      </w:r>
    </w:p>
    <w:p w14:paraId="15C03B45" w14:textId="77777777" w:rsidR="00802E99" w:rsidRDefault="00802E99" w:rsidP="00802E99">
      <w:pPr>
        <w:pStyle w:val="MaintextStyleGroup1"/>
        <w:spacing w:line="240" w:lineRule="auto"/>
        <w:jc w:val="both"/>
        <w:rPr>
          <w:lang w:val="en-AU"/>
        </w:rPr>
      </w:pPr>
    </w:p>
    <w:p w14:paraId="0AAE8948" w14:textId="77777777" w:rsidR="00802E99" w:rsidRDefault="00802E99" w:rsidP="00802E99">
      <w:pPr>
        <w:pStyle w:val="MaintextStyleGroup1"/>
        <w:spacing w:line="240" w:lineRule="auto"/>
        <w:jc w:val="both"/>
        <w:rPr>
          <w:lang w:val="en-AU"/>
        </w:rPr>
      </w:pPr>
      <w:r>
        <w:rPr>
          <w:lang w:val="en-AU"/>
        </w:rPr>
        <w:t>Additional Main Fund investments over the year included a further allocation to a multi-strategy fund and listed infrastructure.</w:t>
      </w:r>
    </w:p>
    <w:p w14:paraId="64D54002" w14:textId="77777777" w:rsidR="00802E99" w:rsidRDefault="00802E99" w:rsidP="00802E99">
      <w:pPr>
        <w:pStyle w:val="MaintextStyleGroup1"/>
        <w:spacing w:line="240" w:lineRule="auto"/>
        <w:jc w:val="both"/>
        <w:rPr>
          <w:lang w:val="en-AU"/>
        </w:rPr>
      </w:pPr>
    </w:p>
    <w:p w14:paraId="6405770C" w14:textId="77777777" w:rsidR="00802E99" w:rsidRDefault="00802E99" w:rsidP="00802E99">
      <w:pPr>
        <w:pStyle w:val="MaintextStyleGroup1"/>
        <w:spacing w:line="240" w:lineRule="auto"/>
        <w:jc w:val="both"/>
        <w:rPr>
          <w:lang w:val="en-AU"/>
        </w:rPr>
      </w:pPr>
      <w:r w:rsidRPr="00DB7716">
        <w:rPr>
          <w:lang w:val="en-AU"/>
        </w:rPr>
        <w:t>The MVCIF continued its phased approach to its full strategic asset allocation</w:t>
      </w:r>
      <w:r>
        <w:rPr>
          <w:lang w:val="en-AU"/>
        </w:rPr>
        <w:t>, increasing its exposure to growth assets in two stages over the course of the year. This phased investment approach will continue in 2019.</w:t>
      </w:r>
    </w:p>
    <w:p w14:paraId="40B4FDE5" w14:textId="77777777" w:rsidR="00802E99" w:rsidRPr="00DB7716" w:rsidRDefault="00802E99" w:rsidP="00802E99">
      <w:pPr>
        <w:pStyle w:val="MaintextStyleGroup1"/>
        <w:spacing w:line="240" w:lineRule="auto"/>
        <w:jc w:val="both"/>
        <w:rPr>
          <w:lang w:val="en-AU"/>
        </w:rPr>
      </w:pPr>
    </w:p>
    <w:p w14:paraId="7A7D21AA" w14:textId="77777777" w:rsidR="00802E99" w:rsidRPr="00DB7716" w:rsidRDefault="00802E99" w:rsidP="00802E99">
      <w:pPr>
        <w:pStyle w:val="MaintextStyleGroup1"/>
        <w:spacing w:line="240" w:lineRule="auto"/>
        <w:jc w:val="both"/>
        <w:rPr>
          <w:lang w:val="en-AU"/>
        </w:rPr>
      </w:pPr>
      <w:r w:rsidRPr="00DB7716">
        <w:rPr>
          <w:lang w:val="en-AU"/>
        </w:rPr>
        <w:t xml:space="preserve">The Insurance Commission’s Main Fund remains overweight </w:t>
      </w:r>
      <w:r>
        <w:rPr>
          <w:lang w:val="en-AU"/>
        </w:rPr>
        <w:t>in</w:t>
      </w:r>
      <w:r w:rsidRPr="00DB7716">
        <w:rPr>
          <w:lang w:val="en-AU"/>
        </w:rPr>
        <w:t xml:space="preserve"> Cash (20.6% against </w:t>
      </w:r>
      <w:r>
        <w:rPr>
          <w:lang w:val="en-AU"/>
        </w:rPr>
        <w:t xml:space="preserve">the </w:t>
      </w:r>
      <w:r w:rsidRPr="00DB7716">
        <w:rPr>
          <w:lang w:val="en-AU"/>
        </w:rPr>
        <w:t xml:space="preserve">8% benchmark). This is a tactical decision pending changes to Bond markets and </w:t>
      </w:r>
      <w:r>
        <w:rPr>
          <w:lang w:val="en-AU"/>
        </w:rPr>
        <w:t>new</w:t>
      </w:r>
      <w:r w:rsidRPr="00DB7716">
        <w:rPr>
          <w:lang w:val="en-AU"/>
        </w:rPr>
        <w:t xml:space="preserve"> investment opportunities. This overweight position is primarily countered by an underweight to fixed interest assets of 15.3%.</w:t>
      </w:r>
      <w:r>
        <w:rPr>
          <w:lang w:val="en-AU"/>
        </w:rPr>
        <w:t xml:space="preserve"> The overweight position in Cash is slightly more conservative than other diversified portfolios.</w:t>
      </w:r>
    </w:p>
    <w:p w14:paraId="2D81710B" w14:textId="77777777" w:rsidR="00802E99" w:rsidRPr="00DB7716" w:rsidRDefault="00802E99" w:rsidP="00802E99">
      <w:pPr>
        <w:pStyle w:val="MaintextStyleGroup1"/>
        <w:spacing w:line="240" w:lineRule="auto"/>
        <w:jc w:val="both"/>
        <w:rPr>
          <w:lang w:val="en-AU"/>
        </w:rPr>
      </w:pPr>
    </w:p>
    <w:p w14:paraId="59DA7741" w14:textId="77777777" w:rsidR="00802E99" w:rsidRPr="00DB7716" w:rsidRDefault="00802E99" w:rsidP="00802E99">
      <w:pPr>
        <w:pStyle w:val="MaintextStyleGroup1"/>
        <w:spacing w:line="240" w:lineRule="auto"/>
        <w:jc w:val="both"/>
      </w:pPr>
      <w:r w:rsidRPr="00DB7716">
        <w:rPr>
          <w:lang w:val="en-AU"/>
        </w:rPr>
        <w:t>The Main Fund actual asset allocation relative to the strategic benchmark, and the value of each asset class and its percentage of investme</w:t>
      </w:r>
      <w:r>
        <w:rPr>
          <w:lang w:val="en-AU"/>
        </w:rPr>
        <w:t>nt funds are shown in the charts</w:t>
      </w:r>
      <w:r w:rsidRPr="00DB7716">
        <w:rPr>
          <w:lang w:val="en-AU"/>
        </w:rPr>
        <w:t xml:space="preserve"> below</w:t>
      </w:r>
      <w:r>
        <w:rPr>
          <w:lang w:val="en-AU"/>
        </w:rPr>
        <w:t xml:space="preserve"> and overleaf</w:t>
      </w:r>
      <w:r w:rsidRPr="00DB7716">
        <w:rPr>
          <w:lang w:val="en-AU"/>
        </w:rPr>
        <w:t>.</w:t>
      </w:r>
    </w:p>
    <w:p w14:paraId="2D1DE4A9" w14:textId="77777777" w:rsidR="00802E99" w:rsidRDefault="00802E99" w:rsidP="00802E99">
      <w:pPr>
        <w:pStyle w:val="MaintextStyleGroup1"/>
        <w:spacing w:after="200" w:line="240" w:lineRule="auto"/>
        <w:jc w:val="center"/>
        <w:rPr>
          <w:sz w:val="22"/>
          <w:szCs w:val="22"/>
          <w:lang w:val="en-AU"/>
        </w:rPr>
      </w:pPr>
      <w:r>
        <w:rPr>
          <w:noProof/>
          <w:lang w:val="en-AU" w:eastAsia="en-AU"/>
        </w:rPr>
        <w:lastRenderedPageBreak/>
        <w:drawing>
          <wp:inline distT="0" distB="0" distL="0" distR="0" wp14:anchorId="3D16F270" wp14:editId="345F82C9">
            <wp:extent cx="5947576" cy="3085106"/>
            <wp:effectExtent l="0" t="0" r="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ED9FE62" w14:textId="0769EAF7" w:rsidR="00802E99" w:rsidRPr="004141F3" w:rsidRDefault="00802E99" w:rsidP="004141F3">
      <w:pPr>
        <w:pStyle w:val="ARHeading3"/>
        <w:pBdr>
          <w:top w:val="single" w:sz="4" w:space="1" w:color="auto"/>
          <w:left w:val="single" w:sz="4" w:space="4" w:color="auto"/>
          <w:bottom w:val="single" w:sz="4" w:space="1" w:color="auto"/>
          <w:right w:val="single" w:sz="4" w:space="4" w:color="auto"/>
        </w:pBdr>
      </w:pPr>
      <w:r w:rsidRPr="004141F3">
        <w:t xml:space="preserve">Environmental, Social and Governance </w:t>
      </w:r>
    </w:p>
    <w:p w14:paraId="3C00F162" w14:textId="77777777" w:rsidR="00802E99" w:rsidRPr="004141F3" w:rsidRDefault="00802E99" w:rsidP="004141F3">
      <w:pPr>
        <w:pStyle w:val="MaintextStyleGroup1"/>
        <w:pBdr>
          <w:top w:val="single" w:sz="4" w:space="1" w:color="auto"/>
          <w:left w:val="single" w:sz="4" w:space="4" w:color="auto"/>
          <w:bottom w:val="single" w:sz="4" w:space="1" w:color="auto"/>
          <w:right w:val="single" w:sz="4" w:space="4" w:color="auto"/>
        </w:pBdr>
        <w:spacing w:line="240" w:lineRule="auto"/>
        <w:rPr>
          <w:lang w:val="en-AU"/>
        </w:rPr>
      </w:pPr>
      <w:r w:rsidRPr="004141F3">
        <w:rPr>
          <w:lang w:val="en-AU"/>
        </w:rPr>
        <w:t>The Insurance Commission considers environmental, social and governance (ESG) matters when appointing and reviewing the performance of its external investment managers. This approach helps to assess risk and generate sustainable, long-term returns.</w:t>
      </w:r>
    </w:p>
    <w:p w14:paraId="0B391924" w14:textId="77777777" w:rsidR="00802E99" w:rsidRPr="004141F3" w:rsidRDefault="00802E99" w:rsidP="004141F3">
      <w:pPr>
        <w:pStyle w:val="MaintextStyleGroup1"/>
        <w:pBdr>
          <w:top w:val="single" w:sz="4" w:space="1" w:color="auto"/>
          <w:left w:val="single" w:sz="4" w:space="4" w:color="auto"/>
          <w:bottom w:val="single" w:sz="4" w:space="1" w:color="auto"/>
          <w:right w:val="single" w:sz="4" w:space="4" w:color="auto"/>
        </w:pBdr>
        <w:spacing w:line="240" w:lineRule="auto"/>
        <w:rPr>
          <w:lang w:val="en-AU"/>
        </w:rPr>
      </w:pPr>
    </w:p>
    <w:p w14:paraId="28863A12" w14:textId="77777777" w:rsidR="00802E99" w:rsidRPr="004141F3" w:rsidRDefault="00802E99" w:rsidP="004141F3">
      <w:pPr>
        <w:pStyle w:val="MaintextStyleGroup1"/>
        <w:pBdr>
          <w:top w:val="single" w:sz="4" w:space="1" w:color="auto"/>
          <w:left w:val="single" w:sz="4" w:space="4" w:color="auto"/>
          <w:bottom w:val="single" w:sz="4" w:space="1" w:color="auto"/>
          <w:right w:val="single" w:sz="4" w:space="4" w:color="auto"/>
        </w:pBdr>
        <w:spacing w:line="240" w:lineRule="auto"/>
        <w:rPr>
          <w:lang w:val="en-AU"/>
        </w:rPr>
      </w:pPr>
      <w:r w:rsidRPr="004141F3">
        <w:rPr>
          <w:lang w:val="en-AU"/>
        </w:rPr>
        <w:t xml:space="preserve">The Insurance Commission requires its external investment managers to demonstrate how ESG matters are identified, assessed and incorporated into investment decision making. </w:t>
      </w:r>
    </w:p>
    <w:p w14:paraId="406E7CA9" w14:textId="77777777" w:rsidR="00802E99" w:rsidRPr="004141F3" w:rsidRDefault="00802E99" w:rsidP="004141F3">
      <w:pPr>
        <w:pStyle w:val="MaintextStyleGroup1"/>
        <w:pBdr>
          <w:top w:val="single" w:sz="4" w:space="1" w:color="auto"/>
          <w:left w:val="single" w:sz="4" w:space="4" w:color="auto"/>
          <w:bottom w:val="single" w:sz="4" w:space="1" w:color="auto"/>
          <w:right w:val="single" w:sz="4" w:space="4" w:color="auto"/>
        </w:pBdr>
        <w:spacing w:line="240" w:lineRule="auto"/>
        <w:rPr>
          <w:lang w:val="en-AU"/>
        </w:rPr>
      </w:pPr>
    </w:p>
    <w:p w14:paraId="69B13B1B" w14:textId="77777777" w:rsidR="00802E99" w:rsidRPr="004141F3" w:rsidRDefault="00802E99" w:rsidP="004141F3">
      <w:pPr>
        <w:pStyle w:val="MaintextStyleGroup1"/>
        <w:pBdr>
          <w:top w:val="single" w:sz="4" w:space="1" w:color="auto"/>
          <w:left w:val="single" w:sz="4" w:space="4" w:color="auto"/>
          <w:bottom w:val="single" w:sz="4" w:space="1" w:color="auto"/>
          <w:right w:val="single" w:sz="4" w:space="4" w:color="auto"/>
        </w:pBdr>
        <w:spacing w:line="240" w:lineRule="auto"/>
        <w:rPr>
          <w:lang w:val="en-AU"/>
        </w:rPr>
      </w:pPr>
      <w:r w:rsidRPr="004141F3">
        <w:rPr>
          <w:lang w:val="en-AU"/>
        </w:rPr>
        <w:t>Investment managers regularly report ESG performance (including proxy voting) to the Insurance Commission. Bi-annual review meetings are also held with investment managers at which ESG performance is discussed.</w:t>
      </w:r>
    </w:p>
    <w:tbl>
      <w:tblPr>
        <w:tblW w:w="8889" w:type="dxa"/>
        <w:jc w:val="center"/>
        <w:tblLook w:val="04A0" w:firstRow="1" w:lastRow="0" w:firstColumn="1" w:lastColumn="0" w:noHBand="0" w:noVBand="1"/>
      </w:tblPr>
      <w:tblGrid>
        <w:gridCol w:w="4177"/>
        <w:gridCol w:w="2545"/>
        <w:gridCol w:w="2167"/>
      </w:tblGrid>
      <w:tr w:rsidR="00802E99" w:rsidRPr="00667022" w14:paraId="4DE02040" w14:textId="77777777" w:rsidTr="004141F3">
        <w:trPr>
          <w:trHeight w:val="327"/>
          <w:jc w:val="center"/>
        </w:trPr>
        <w:tc>
          <w:tcPr>
            <w:tcW w:w="8889" w:type="dxa"/>
            <w:gridSpan w:val="3"/>
            <w:tcBorders>
              <w:top w:val="nil"/>
              <w:left w:val="nil"/>
              <w:right w:val="nil"/>
            </w:tcBorders>
            <w:shd w:val="clear" w:color="auto" w:fill="auto"/>
            <w:noWrap/>
            <w:vAlign w:val="bottom"/>
            <w:hideMark/>
          </w:tcPr>
          <w:p w14:paraId="0567C63F" w14:textId="77777777" w:rsidR="00802E99" w:rsidRDefault="00802E99" w:rsidP="004046F0">
            <w:pPr>
              <w:jc w:val="center"/>
              <w:rPr>
                <w:rFonts w:ascii="Arial" w:hAnsi="Arial" w:cs="Arial"/>
                <w:b/>
                <w:bCs/>
                <w:lang w:eastAsia="en-AU"/>
              </w:rPr>
            </w:pPr>
          </w:p>
          <w:p w14:paraId="792D216B" w14:textId="77777777" w:rsidR="004141F3" w:rsidRDefault="004141F3" w:rsidP="004046F0">
            <w:pPr>
              <w:jc w:val="center"/>
              <w:rPr>
                <w:rFonts w:ascii="Arial" w:hAnsi="Arial" w:cs="Arial"/>
                <w:b/>
                <w:bCs/>
                <w:lang w:eastAsia="en-AU"/>
              </w:rPr>
            </w:pPr>
          </w:p>
          <w:p w14:paraId="53681176" w14:textId="77777777" w:rsidR="004141F3" w:rsidRDefault="004141F3" w:rsidP="004046F0">
            <w:pPr>
              <w:jc w:val="center"/>
              <w:rPr>
                <w:rFonts w:ascii="Arial" w:hAnsi="Arial" w:cs="Arial"/>
                <w:b/>
                <w:bCs/>
                <w:lang w:eastAsia="en-AU"/>
              </w:rPr>
            </w:pPr>
          </w:p>
          <w:p w14:paraId="5A72C4FE" w14:textId="77777777" w:rsidR="004141F3" w:rsidRDefault="004141F3" w:rsidP="004046F0">
            <w:pPr>
              <w:jc w:val="center"/>
              <w:rPr>
                <w:rFonts w:ascii="Arial" w:hAnsi="Arial" w:cs="Arial"/>
                <w:b/>
                <w:bCs/>
                <w:lang w:eastAsia="en-AU"/>
              </w:rPr>
            </w:pPr>
          </w:p>
          <w:p w14:paraId="7FFC180A" w14:textId="77777777" w:rsidR="004141F3" w:rsidRDefault="004141F3" w:rsidP="004046F0">
            <w:pPr>
              <w:jc w:val="center"/>
              <w:rPr>
                <w:rFonts w:ascii="Arial" w:hAnsi="Arial" w:cs="Arial"/>
                <w:b/>
                <w:bCs/>
                <w:lang w:eastAsia="en-AU"/>
              </w:rPr>
            </w:pPr>
          </w:p>
          <w:p w14:paraId="05333AB0" w14:textId="77777777" w:rsidR="004141F3" w:rsidRDefault="004141F3" w:rsidP="004046F0">
            <w:pPr>
              <w:jc w:val="center"/>
              <w:rPr>
                <w:rFonts w:ascii="Arial" w:hAnsi="Arial" w:cs="Arial"/>
                <w:b/>
                <w:bCs/>
                <w:lang w:eastAsia="en-AU"/>
              </w:rPr>
            </w:pPr>
          </w:p>
          <w:p w14:paraId="195F1994" w14:textId="77777777" w:rsidR="004141F3" w:rsidRDefault="004141F3" w:rsidP="004046F0">
            <w:pPr>
              <w:jc w:val="center"/>
              <w:rPr>
                <w:rFonts w:ascii="Arial" w:hAnsi="Arial" w:cs="Arial"/>
                <w:b/>
                <w:bCs/>
                <w:lang w:eastAsia="en-AU"/>
              </w:rPr>
            </w:pPr>
          </w:p>
          <w:p w14:paraId="7064F99C" w14:textId="77777777" w:rsidR="004141F3" w:rsidRDefault="004141F3" w:rsidP="004046F0">
            <w:pPr>
              <w:jc w:val="center"/>
              <w:rPr>
                <w:rFonts w:ascii="Arial" w:hAnsi="Arial" w:cs="Arial"/>
                <w:b/>
                <w:bCs/>
                <w:lang w:eastAsia="en-AU"/>
              </w:rPr>
            </w:pPr>
          </w:p>
          <w:p w14:paraId="6CC8D460" w14:textId="77777777" w:rsidR="004141F3" w:rsidRDefault="004141F3" w:rsidP="004046F0">
            <w:pPr>
              <w:jc w:val="center"/>
              <w:rPr>
                <w:rFonts w:ascii="Arial" w:hAnsi="Arial" w:cs="Arial"/>
                <w:b/>
                <w:bCs/>
                <w:lang w:eastAsia="en-AU"/>
              </w:rPr>
            </w:pPr>
          </w:p>
          <w:p w14:paraId="6F8846B5" w14:textId="77777777" w:rsidR="004141F3" w:rsidRDefault="004141F3" w:rsidP="004046F0">
            <w:pPr>
              <w:jc w:val="center"/>
              <w:rPr>
                <w:rFonts w:ascii="Arial" w:hAnsi="Arial" w:cs="Arial"/>
                <w:b/>
                <w:bCs/>
                <w:lang w:eastAsia="en-AU"/>
              </w:rPr>
            </w:pPr>
          </w:p>
          <w:p w14:paraId="5A0D73E1" w14:textId="77777777" w:rsidR="004141F3" w:rsidRDefault="004141F3" w:rsidP="004046F0">
            <w:pPr>
              <w:jc w:val="center"/>
              <w:rPr>
                <w:rFonts w:ascii="Arial" w:hAnsi="Arial" w:cs="Arial"/>
                <w:b/>
                <w:bCs/>
                <w:lang w:eastAsia="en-AU"/>
              </w:rPr>
            </w:pPr>
          </w:p>
          <w:p w14:paraId="51236EC1" w14:textId="77777777" w:rsidR="004141F3" w:rsidRDefault="004141F3" w:rsidP="004046F0">
            <w:pPr>
              <w:jc w:val="center"/>
              <w:rPr>
                <w:rFonts w:ascii="Arial" w:hAnsi="Arial" w:cs="Arial"/>
                <w:b/>
                <w:bCs/>
                <w:lang w:eastAsia="en-AU"/>
              </w:rPr>
            </w:pPr>
          </w:p>
          <w:p w14:paraId="575CD128" w14:textId="77777777" w:rsidR="004141F3" w:rsidRDefault="004141F3" w:rsidP="004046F0">
            <w:pPr>
              <w:jc w:val="center"/>
              <w:rPr>
                <w:rFonts w:ascii="Arial" w:hAnsi="Arial" w:cs="Arial"/>
                <w:b/>
                <w:bCs/>
                <w:lang w:eastAsia="en-AU"/>
              </w:rPr>
            </w:pPr>
          </w:p>
          <w:p w14:paraId="1ED0CCB7" w14:textId="77777777" w:rsidR="004141F3" w:rsidRDefault="004141F3" w:rsidP="004046F0">
            <w:pPr>
              <w:jc w:val="center"/>
              <w:rPr>
                <w:rFonts w:ascii="Arial" w:hAnsi="Arial" w:cs="Arial"/>
                <w:b/>
                <w:bCs/>
                <w:lang w:eastAsia="en-AU"/>
              </w:rPr>
            </w:pPr>
          </w:p>
          <w:p w14:paraId="4B4A5282" w14:textId="77777777" w:rsidR="004141F3" w:rsidRDefault="004141F3" w:rsidP="004046F0">
            <w:pPr>
              <w:jc w:val="center"/>
              <w:rPr>
                <w:rFonts w:ascii="Arial" w:hAnsi="Arial" w:cs="Arial"/>
                <w:b/>
                <w:bCs/>
                <w:lang w:eastAsia="en-AU"/>
              </w:rPr>
            </w:pPr>
          </w:p>
          <w:p w14:paraId="7D4C30BF" w14:textId="77777777" w:rsidR="004141F3" w:rsidRDefault="004141F3" w:rsidP="004046F0">
            <w:pPr>
              <w:jc w:val="center"/>
              <w:rPr>
                <w:rFonts w:ascii="Arial" w:hAnsi="Arial" w:cs="Arial"/>
                <w:b/>
                <w:bCs/>
                <w:lang w:eastAsia="en-AU"/>
              </w:rPr>
            </w:pPr>
          </w:p>
          <w:p w14:paraId="6EF70253" w14:textId="77777777" w:rsidR="004141F3" w:rsidRDefault="004141F3" w:rsidP="004046F0">
            <w:pPr>
              <w:jc w:val="center"/>
              <w:rPr>
                <w:rFonts w:ascii="Arial" w:hAnsi="Arial" w:cs="Arial"/>
                <w:b/>
                <w:bCs/>
                <w:lang w:eastAsia="en-AU"/>
              </w:rPr>
            </w:pPr>
          </w:p>
          <w:p w14:paraId="4F35613C" w14:textId="77777777" w:rsidR="004141F3" w:rsidRPr="00667022" w:rsidRDefault="004141F3" w:rsidP="004141F3">
            <w:pPr>
              <w:rPr>
                <w:rFonts w:ascii="Arial" w:hAnsi="Arial" w:cs="Arial"/>
                <w:b/>
                <w:bCs/>
                <w:lang w:eastAsia="en-AU"/>
              </w:rPr>
            </w:pPr>
          </w:p>
        </w:tc>
      </w:tr>
      <w:tr w:rsidR="00802E99" w:rsidRPr="00667022" w14:paraId="0DD522F8" w14:textId="77777777" w:rsidTr="004141F3">
        <w:trPr>
          <w:trHeight w:val="606"/>
          <w:jc w:val="center"/>
        </w:trPr>
        <w:tc>
          <w:tcPr>
            <w:tcW w:w="4177" w:type="dxa"/>
            <w:tcBorders>
              <w:left w:val="single" w:sz="4" w:space="0" w:color="auto"/>
              <w:bottom w:val="single" w:sz="4" w:space="0" w:color="auto"/>
              <w:right w:val="nil"/>
            </w:tcBorders>
            <w:shd w:val="clear" w:color="000000" w:fill="1F497D"/>
            <w:vAlign w:val="center"/>
            <w:hideMark/>
          </w:tcPr>
          <w:p w14:paraId="2A420ED8" w14:textId="77777777" w:rsidR="00802E99" w:rsidRPr="00667022" w:rsidRDefault="00802E99" w:rsidP="004046F0">
            <w:pPr>
              <w:jc w:val="center"/>
              <w:rPr>
                <w:rFonts w:ascii="Arial" w:hAnsi="Arial" w:cs="Arial"/>
                <w:b/>
                <w:bCs/>
                <w:color w:val="FFFFFF"/>
                <w:lang w:eastAsia="en-AU"/>
              </w:rPr>
            </w:pPr>
            <w:r w:rsidRPr="00667022">
              <w:rPr>
                <w:rFonts w:ascii="Arial" w:hAnsi="Arial" w:cs="Arial"/>
                <w:b/>
                <w:bCs/>
                <w:color w:val="FFFFFF"/>
                <w:lang w:eastAsia="en-AU"/>
              </w:rPr>
              <w:lastRenderedPageBreak/>
              <w:t>Asset Class</w:t>
            </w:r>
          </w:p>
        </w:tc>
        <w:tc>
          <w:tcPr>
            <w:tcW w:w="2545" w:type="dxa"/>
            <w:tcBorders>
              <w:left w:val="single" w:sz="4" w:space="0" w:color="auto"/>
              <w:bottom w:val="single" w:sz="4" w:space="0" w:color="auto"/>
              <w:right w:val="single" w:sz="4" w:space="0" w:color="auto"/>
            </w:tcBorders>
            <w:shd w:val="clear" w:color="000000" w:fill="1F497D"/>
            <w:vAlign w:val="center"/>
            <w:hideMark/>
          </w:tcPr>
          <w:p w14:paraId="434034E8" w14:textId="77777777" w:rsidR="00802E99" w:rsidRPr="00667022" w:rsidRDefault="00802E99" w:rsidP="004046F0">
            <w:pPr>
              <w:jc w:val="center"/>
              <w:rPr>
                <w:rFonts w:ascii="Arial" w:hAnsi="Arial" w:cs="Arial"/>
                <w:b/>
                <w:bCs/>
                <w:color w:val="FFFFFF"/>
                <w:lang w:eastAsia="en-AU"/>
              </w:rPr>
            </w:pPr>
            <w:r w:rsidRPr="00667022">
              <w:rPr>
                <w:rFonts w:ascii="Arial" w:hAnsi="Arial" w:cs="Arial"/>
                <w:b/>
                <w:bCs/>
                <w:color w:val="FFFFFF"/>
                <w:lang w:eastAsia="en-AU"/>
              </w:rPr>
              <w:t>Market Value $m</w:t>
            </w:r>
          </w:p>
        </w:tc>
        <w:tc>
          <w:tcPr>
            <w:tcW w:w="2167" w:type="dxa"/>
            <w:tcBorders>
              <w:left w:val="nil"/>
              <w:bottom w:val="single" w:sz="4" w:space="0" w:color="auto"/>
              <w:right w:val="single" w:sz="4" w:space="0" w:color="auto"/>
            </w:tcBorders>
            <w:shd w:val="clear" w:color="000000" w:fill="1F497D"/>
            <w:vAlign w:val="center"/>
            <w:hideMark/>
          </w:tcPr>
          <w:p w14:paraId="113A8A37" w14:textId="77777777" w:rsidR="00802E99" w:rsidRPr="00667022" w:rsidRDefault="00802E99" w:rsidP="004046F0">
            <w:pPr>
              <w:jc w:val="center"/>
              <w:rPr>
                <w:rFonts w:ascii="Arial" w:hAnsi="Arial" w:cs="Arial"/>
                <w:b/>
                <w:bCs/>
                <w:color w:val="FFFFFF"/>
                <w:lang w:eastAsia="en-AU"/>
              </w:rPr>
            </w:pPr>
            <w:r w:rsidRPr="00667022">
              <w:rPr>
                <w:rFonts w:ascii="Arial" w:hAnsi="Arial" w:cs="Arial"/>
                <w:b/>
                <w:bCs/>
                <w:color w:val="FFFFFF"/>
                <w:lang w:eastAsia="en-AU"/>
              </w:rPr>
              <w:t>% of Fund</w:t>
            </w:r>
          </w:p>
        </w:tc>
      </w:tr>
      <w:tr w:rsidR="00802E99" w:rsidRPr="00667022" w14:paraId="234B69AD" w14:textId="77777777" w:rsidTr="004046F0">
        <w:trPr>
          <w:trHeight w:val="311"/>
          <w:jc w:val="center"/>
        </w:trPr>
        <w:tc>
          <w:tcPr>
            <w:tcW w:w="4177" w:type="dxa"/>
            <w:tcBorders>
              <w:top w:val="nil"/>
              <w:left w:val="single" w:sz="4" w:space="0" w:color="auto"/>
              <w:bottom w:val="nil"/>
              <w:right w:val="nil"/>
            </w:tcBorders>
            <w:shd w:val="clear" w:color="auto" w:fill="auto"/>
            <w:noWrap/>
            <w:vAlign w:val="bottom"/>
            <w:hideMark/>
          </w:tcPr>
          <w:p w14:paraId="44AB4668" w14:textId="77777777" w:rsidR="00802E99" w:rsidRPr="00667022" w:rsidRDefault="00802E99" w:rsidP="004046F0">
            <w:pPr>
              <w:rPr>
                <w:rFonts w:ascii="Arial" w:hAnsi="Arial" w:cs="Arial"/>
                <w:color w:val="1F497D"/>
                <w:lang w:eastAsia="en-AU"/>
              </w:rPr>
            </w:pPr>
            <w:r w:rsidRPr="00667022">
              <w:rPr>
                <w:rFonts w:ascii="Arial" w:hAnsi="Arial" w:cs="Arial"/>
                <w:color w:val="1F497D"/>
                <w:lang w:eastAsia="en-AU"/>
              </w:rPr>
              <w:t xml:space="preserve">Australian </w:t>
            </w:r>
            <w:r>
              <w:rPr>
                <w:rFonts w:ascii="Arial" w:hAnsi="Arial" w:cs="Arial"/>
                <w:color w:val="1F497D"/>
                <w:lang w:eastAsia="en-AU"/>
              </w:rPr>
              <w:t>Equities</w:t>
            </w:r>
            <w:r w:rsidRPr="00667022">
              <w:rPr>
                <w:rFonts w:ascii="Arial" w:hAnsi="Arial" w:cs="Arial"/>
                <w:color w:val="1F497D"/>
                <w:lang w:eastAsia="en-AU"/>
              </w:rPr>
              <w:t xml:space="preserve"> </w:t>
            </w:r>
          </w:p>
        </w:tc>
        <w:tc>
          <w:tcPr>
            <w:tcW w:w="2545" w:type="dxa"/>
            <w:tcBorders>
              <w:top w:val="nil"/>
              <w:left w:val="single" w:sz="4" w:space="0" w:color="auto"/>
              <w:bottom w:val="nil"/>
              <w:right w:val="single" w:sz="4" w:space="0" w:color="auto"/>
            </w:tcBorders>
            <w:shd w:val="clear" w:color="000000" w:fill="FFFFFF"/>
            <w:noWrap/>
            <w:vAlign w:val="bottom"/>
            <w:hideMark/>
          </w:tcPr>
          <w:p w14:paraId="79B8D41A" w14:textId="77777777" w:rsidR="00802E99" w:rsidRPr="00667022" w:rsidRDefault="00802E99" w:rsidP="004046F0">
            <w:pPr>
              <w:jc w:val="center"/>
              <w:rPr>
                <w:rFonts w:ascii="Arial" w:hAnsi="Arial" w:cs="Arial"/>
                <w:lang w:eastAsia="en-AU"/>
              </w:rPr>
            </w:pPr>
            <w:r w:rsidRPr="00667022">
              <w:rPr>
                <w:rFonts w:ascii="Arial" w:hAnsi="Arial" w:cs="Arial"/>
                <w:lang w:eastAsia="en-AU"/>
              </w:rPr>
              <w:t>976.3</w:t>
            </w:r>
          </w:p>
        </w:tc>
        <w:tc>
          <w:tcPr>
            <w:tcW w:w="2167" w:type="dxa"/>
            <w:tcBorders>
              <w:top w:val="nil"/>
              <w:left w:val="nil"/>
              <w:bottom w:val="nil"/>
              <w:right w:val="single" w:sz="4" w:space="0" w:color="auto"/>
            </w:tcBorders>
            <w:shd w:val="clear" w:color="000000" w:fill="FFFFFF"/>
            <w:noWrap/>
            <w:vAlign w:val="bottom"/>
            <w:hideMark/>
          </w:tcPr>
          <w:p w14:paraId="42ADDEDC" w14:textId="77777777" w:rsidR="00802E99" w:rsidRPr="00667022" w:rsidRDefault="00802E99" w:rsidP="004046F0">
            <w:pPr>
              <w:jc w:val="center"/>
              <w:rPr>
                <w:rFonts w:ascii="Arial" w:hAnsi="Arial" w:cs="Arial"/>
                <w:lang w:eastAsia="en-AU"/>
              </w:rPr>
            </w:pPr>
            <w:r w:rsidRPr="00667022">
              <w:rPr>
                <w:rFonts w:ascii="Arial" w:hAnsi="Arial" w:cs="Arial"/>
                <w:lang w:eastAsia="en-AU"/>
              </w:rPr>
              <w:t>20.0</w:t>
            </w:r>
          </w:p>
        </w:tc>
      </w:tr>
      <w:tr w:rsidR="00802E99" w:rsidRPr="00667022" w14:paraId="11E26087" w14:textId="77777777" w:rsidTr="004046F0">
        <w:trPr>
          <w:trHeight w:val="311"/>
          <w:jc w:val="center"/>
        </w:trPr>
        <w:tc>
          <w:tcPr>
            <w:tcW w:w="4177" w:type="dxa"/>
            <w:tcBorders>
              <w:top w:val="nil"/>
              <w:left w:val="single" w:sz="4" w:space="0" w:color="auto"/>
              <w:bottom w:val="nil"/>
              <w:right w:val="nil"/>
            </w:tcBorders>
            <w:shd w:val="clear" w:color="auto" w:fill="auto"/>
            <w:noWrap/>
            <w:vAlign w:val="bottom"/>
            <w:hideMark/>
          </w:tcPr>
          <w:p w14:paraId="1F21DDD4" w14:textId="77777777" w:rsidR="00802E99" w:rsidRPr="00667022" w:rsidRDefault="00802E99" w:rsidP="004046F0">
            <w:pPr>
              <w:rPr>
                <w:rFonts w:ascii="Arial" w:hAnsi="Arial" w:cs="Arial"/>
                <w:color w:val="1F497D"/>
                <w:lang w:eastAsia="en-AU"/>
              </w:rPr>
            </w:pPr>
            <w:r w:rsidRPr="00667022">
              <w:rPr>
                <w:rFonts w:ascii="Arial" w:hAnsi="Arial" w:cs="Arial"/>
                <w:color w:val="1F497D"/>
                <w:lang w:eastAsia="en-AU"/>
              </w:rPr>
              <w:t xml:space="preserve">Global </w:t>
            </w:r>
            <w:r>
              <w:rPr>
                <w:rFonts w:ascii="Arial" w:hAnsi="Arial" w:cs="Arial"/>
                <w:color w:val="1F497D"/>
                <w:lang w:eastAsia="en-AU"/>
              </w:rPr>
              <w:t>Equities</w:t>
            </w:r>
            <w:r w:rsidRPr="00667022">
              <w:rPr>
                <w:rFonts w:ascii="Arial" w:hAnsi="Arial" w:cs="Arial"/>
                <w:color w:val="1F497D"/>
                <w:lang w:eastAsia="en-AU"/>
              </w:rPr>
              <w:t xml:space="preserve"> </w:t>
            </w:r>
          </w:p>
        </w:tc>
        <w:tc>
          <w:tcPr>
            <w:tcW w:w="2545" w:type="dxa"/>
            <w:tcBorders>
              <w:top w:val="nil"/>
              <w:left w:val="single" w:sz="4" w:space="0" w:color="auto"/>
              <w:bottom w:val="nil"/>
              <w:right w:val="single" w:sz="4" w:space="0" w:color="auto"/>
            </w:tcBorders>
            <w:shd w:val="clear" w:color="000000" w:fill="FFFFFF"/>
            <w:noWrap/>
            <w:vAlign w:val="bottom"/>
            <w:hideMark/>
          </w:tcPr>
          <w:p w14:paraId="7147C888" w14:textId="77777777" w:rsidR="00802E99" w:rsidRPr="00667022" w:rsidRDefault="00802E99" w:rsidP="004046F0">
            <w:pPr>
              <w:jc w:val="center"/>
              <w:rPr>
                <w:rFonts w:ascii="Arial" w:hAnsi="Arial" w:cs="Arial"/>
                <w:lang w:eastAsia="en-AU"/>
              </w:rPr>
            </w:pPr>
            <w:r w:rsidRPr="00667022">
              <w:rPr>
                <w:rFonts w:ascii="Arial" w:hAnsi="Arial" w:cs="Arial"/>
                <w:lang w:eastAsia="en-AU"/>
              </w:rPr>
              <w:t>1,016.5</w:t>
            </w:r>
          </w:p>
        </w:tc>
        <w:tc>
          <w:tcPr>
            <w:tcW w:w="2167" w:type="dxa"/>
            <w:tcBorders>
              <w:top w:val="nil"/>
              <w:left w:val="nil"/>
              <w:bottom w:val="nil"/>
              <w:right w:val="single" w:sz="4" w:space="0" w:color="auto"/>
            </w:tcBorders>
            <w:shd w:val="clear" w:color="000000" w:fill="FFFFFF"/>
            <w:noWrap/>
            <w:vAlign w:val="bottom"/>
            <w:hideMark/>
          </w:tcPr>
          <w:p w14:paraId="69E50449" w14:textId="77777777" w:rsidR="00802E99" w:rsidRPr="00667022" w:rsidRDefault="00802E99" w:rsidP="004046F0">
            <w:pPr>
              <w:jc w:val="center"/>
              <w:rPr>
                <w:rFonts w:ascii="Arial" w:hAnsi="Arial" w:cs="Arial"/>
                <w:lang w:eastAsia="en-AU"/>
              </w:rPr>
            </w:pPr>
            <w:r w:rsidRPr="00667022">
              <w:rPr>
                <w:rFonts w:ascii="Arial" w:hAnsi="Arial" w:cs="Arial"/>
                <w:lang w:eastAsia="en-AU"/>
              </w:rPr>
              <w:t>20.9</w:t>
            </w:r>
          </w:p>
        </w:tc>
      </w:tr>
      <w:tr w:rsidR="00802E99" w:rsidRPr="00667022" w14:paraId="291FDC12" w14:textId="77777777" w:rsidTr="004046F0">
        <w:trPr>
          <w:trHeight w:val="311"/>
          <w:jc w:val="center"/>
        </w:trPr>
        <w:tc>
          <w:tcPr>
            <w:tcW w:w="4177" w:type="dxa"/>
            <w:tcBorders>
              <w:top w:val="nil"/>
              <w:left w:val="single" w:sz="4" w:space="0" w:color="auto"/>
              <w:bottom w:val="nil"/>
              <w:right w:val="nil"/>
            </w:tcBorders>
            <w:shd w:val="clear" w:color="auto" w:fill="auto"/>
            <w:noWrap/>
            <w:vAlign w:val="bottom"/>
            <w:hideMark/>
          </w:tcPr>
          <w:p w14:paraId="349DE61F" w14:textId="77777777" w:rsidR="00802E99" w:rsidRPr="00667022" w:rsidRDefault="00802E99" w:rsidP="004046F0">
            <w:pPr>
              <w:rPr>
                <w:rFonts w:ascii="Arial" w:hAnsi="Arial" w:cs="Arial"/>
                <w:color w:val="1F497D"/>
                <w:lang w:eastAsia="en-AU"/>
              </w:rPr>
            </w:pPr>
            <w:r w:rsidRPr="00667022">
              <w:rPr>
                <w:rFonts w:ascii="Arial" w:hAnsi="Arial" w:cs="Arial"/>
                <w:color w:val="1F497D"/>
                <w:lang w:eastAsia="en-AU"/>
              </w:rPr>
              <w:t>Alternative Assets</w:t>
            </w:r>
          </w:p>
        </w:tc>
        <w:tc>
          <w:tcPr>
            <w:tcW w:w="2545" w:type="dxa"/>
            <w:tcBorders>
              <w:top w:val="nil"/>
              <w:left w:val="single" w:sz="4" w:space="0" w:color="auto"/>
              <w:bottom w:val="nil"/>
              <w:right w:val="single" w:sz="4" w:space="0" w:color="auto"/>
            </w:tcBorders>
            <w:shd w:val="clear" w:color="000000" w:fill="FFFFFF"/>
            <w:noWrap/>
            <w:vAlign w:val="bottom"/>
            <w:hideMark/>
          </w:tcPr>
          <w:p w14:paraId="28920D41" w14:textId="77777777" w:rsidR="00802E99" w:rsidRPr="00667022" w:rsidRDefault="00802E99" w:rsidP="004046F0">
            <w:pPr>
              <w:jc w:val="center"/>
              <w:rPr>
                <w:rFonts w:ascii="Arial" w:hAnsi="Arial" w:cs="Arial"/>
                <w:lang w:eastAsia="en-AU"/>
              </w:rPr>
            </w:pPr>
            <w:r w:rsidRPr="00667022">
              <w:rPr>
                <w:rFonts w:ascii="Arial" w:hAnsi="Arial" w:cs="Arial"/>
                <w:lang w:eastAsia="en-AU"/>
              </w:rPr>
              <w:t>948.9</w:t>
            </w:r>
          </w:p>
        </w:tc>
        <w:tc>
          <w:tcPr>
            <w:tcW w:w="2167" w:type="dxa"/>
            <w:tcBorders>
              <w:top w:val="nil"/>
              <w:left w:val="nil"/>
              <w:bottom w:val="nil"/>
              <w:right w:val="single" w:sz="4" w:space="0" w:color="auto"/>
            </w:tcBorders>
            <w:shd w:val="clear" w:color="000000" w:fill="FFFFFF"/>
            <w:noWrap/>
            <w:vAlign w:val="bottom"/>
            <w:hideMark/>
          </w:tcPr>
          <w:p w14:paraId="06132FDD" w14:textId="77777777" w:rsidR="00802E99" w:rsidRPr="00667022" w:rsidRDefault="00802E99" w:rsidP="004046F0">
            <w:pPr>
              <w:jc w:val="center"/>
              <w:rPr>
                <w:rFonts w:ascii="Arial" w:hAnsi="Arial" w:cs="Arial"/>
                <w:lang w:eastAsia="en-AU"/>
              </w:rPr>
            </w:pPr>
            <w:r w:rsidRPr="00667022">
              <w:rPr>
                <w:rFonts w:ascii="Arial" w:hAnsi="Arial" w:cs="Arial"/>
                <w:lang w:eastAsia="en-AU"/>
              </w:rPr>
              <w:t>19.5</w:t>
            </w:r>
          </w:p>
        </w:tc>
      </w:tr>
      <w:tr w:rsidR="00802E99" w:rsidRPr="00667022" w14:paraId="4966F018" w14:textId="77777777" w:rsidTr="004046F0">
        <w:trPr>
          <w:trHeight w:val="311"/>
          <w:jc w:val="center"/>
        </w:trPr>
        <w:tc>
          <w:tcPr>
            <w:tcW w:w="4177" w:type="dxa"/>
            <w:tcBorders>
              <w:top w:val="nil"/>
              <w:left w:val="single" w:sz="4" w:space="0" w:color="auto"/>
              <w:bottom w:val="nil"/>
              <w:right w:val="nil"/>
            </w:tcBorders>
            <w:shd w:val="clear" w:color="auto" w:fill="auto"/>
            <w:noWrap/>
            <w:vAlign w:val="bottom"/>
            <w:hideMark/>
          </w:tcPr>
          <w:p w14:paraId="464A6D83" w14:textId="77777777" w:rsidR="00802E99" w:rsidRPr="00667022" w:rsidRDefault="00802E99" w:rsidP="004046F0">
            <w:pPr>
              <w:rPr>
                <w:rFonts w:ascii="Arial" w:hAnsi="Arial" w:cs="Arial"/>
                <w:color w:val="1F497D"/>
                <w:lang w:eastAsia="en-AU"/>
              </w:rPr>
            </w:pPr>
            <w:r w:rsidRPr="00667022">
              <w:rPr>
                <w:rFonts w:ascii="Arial" w:hAnsi="Arial" w:cs="Arial"/>
                <w:color w:val="1F497D"/>
                <w:lang w:eastAsia="en-AU"/>
              </w:rPr>
              <w:t>Fixed Interest</w:t>
            </w:r>
          </w:p>
        </w:tc>
        <w:tc>
          <w:tcPr>
            <w:tcW w:w="2545" w:type="dxa"/>
            <w:tcBorders>
              <w:top w:val="nil"/>
              <w:left w:val="single" w:sz="4" w:space="0" w:color="auto"/>
              <w:bottom w:val="nil"/>
              <w:right w:val="single" w:sz="4" w:space="0" w:color="auto"/>
            </w:tcBorders>
            <w:shd w:val="clear" w:color="000000" w:fill="FFFFFF"/>
            <w:noWrap/>
            <w:vAlign w:val="bottom"/>
            <w:hideMark/>
          </w:tcPr>
          <w:p w14:paraId="305825AA" w14:textId="77777777" w:rsidR="00802E99" w:rsidRPr="00667022" w:rsidRDefault="00802E99" w:rsidP="004046F0">
            <w:pPr>
              <w:jc w:val="center"/>
              <w:rPr>
                <w:rFonts w:ascii="Arial" w:hAnsi="Arial" w:cs="Arial"/>
                <w:lang w:eastAsia="en-AU"/>
              </w:rPr>
            </w:pPr>
            <w:r w:rsidRPr="00667022">
              <w:rPr>
                <w:rFonts w:ascii="Arial" w:hAnsi="Arial" w:cs="Arial"/>
                <w:lang w:eastAsia="en-AU"/>
              </w:rPr>
              <w:t>229.8</w:t>
            </w:r>
          </w:p>
        </w:tc>
        <w:tc>
          <w:tcPr>
            <w:tcW w:w="2167" w:type="dxa"/>
            <w:tcBorders>
              <w:top w:val="nil"/>
              <w:left w:val="nil"/>
              <w:bottom w:val="nil"/>
              <w:right w:val="single" w:sz="4" w:space="0" w:color="auto"/>
            </w:tcBorders>
            <w:shd w:val="clear" w:color="000000" w:fill="FFFFFF"/>
            <w:noWrap/>
            <w:vAlign w:val="bottom"/>
            <w:hideMark/>
          </w:tcPr>
          <w:p w14:paraId="40A9B3E3" w14:textId="77777777" w:rsidR="00802E99" w:rsidRPr="00667022" w:rsidRDefault="00802E99" w:rsidP="004046F0">
            <w:pPr>
              <w:jc w:val="center"/>
              <w:rPr>
                <w:rFonts w:ascii="Arial" w:hAnsi="Arial" w:cs="Arial"/>
                <w:lang w:eastAsia="en-AU"/>
              </w:rPr>
            </w:pPr>
            <w:r w:rsidRPr="00667022">
              <w:rPr>
                <w:rFonts w:ascii="Arial" w:hAnsi="Arial" w:cs="Arial"/>
                <w:lang w:eastAsia="en-AU"/>
              </w:rPr>
              <w:t>4.7</w:t>
            </w:r>
          </w:p>
        </w:tc>
      </w:tr>
      <w:tr w:rsidR="00802E99" w:rsidRPr="00667022" w14:paraId="4ED10A83" w14:textId="77777777" w:rsidTr="004046F0">
        <w:trPr>
          <w:trHeight w:val="311"/>
          <w:jc w:val="center"/>
        </w:trPr>
        <w:tc>
          <w:tcPr>
            <w:tcW w:w="4177" w:type="dxa"/>
            <w:tcBorders>
              <w:top w:val="nil"/>
              <w:left w:val="single" w:sz="4" w:space="0" w:color="auto"/>
              <w:bottom w:val="nil"/>
              <w:right w:val="nil"/>
            </w:tcBorders>
            <w:shd w:val="clear" w:color="auto" w:fill="auto"/>
            <w:noWrap/>
            <w:vAlign w:val="bottom"/>
            <w:hideMark/>
          </w:tcPr>
          <w:p w14:paraId="0D15A063" w14:textId="77777777" w:rsidR="00802E99" w:rsidRPr="00667022" w:rsidRDefault="00802E99" w:rsidP="004046F0">
            <w:pPr>
              <w:rPr>
                <w:rFonts w:ascii="Arial" w:hAnsi="Arial" w:cs="Arial"/>
                <w:color w:val="1F497D"/>
                <w:lang w:eastAsia="en-AU"/>
              </w:rPr>
            </w:pPr>
            <w:r w:rsidRPr="00667022">
              <w:rPr>
                <w:rFonts w:ascii="Arial" w:hAnsi="Arial" w:cs="Arial"/>
                <w:color w:val="1F497D"/>
                <w:lang w:eastAsia="en-AU"/>
              </w:rPr>
              <w:t xml:space="preserve">Property </w:t>
            </w:r>
          </w:p>
        </w:tc>
        <w:tc>
          <w:tcPr>
            <w:tcW w:w="2545" w:type="dxa"/>
            <w:tcBorders>
              <w:top w:val="nil"/>
              <w:left w:val="single" w:sz="4" w:space="0" w:color="auto"/>
              <w:bottom w:val="nil"/>
              <w:right w:val="single" w:sz="4" w:space="0" w:color="auto"/>
            </w:tcBorders>
            <w:shd w:val="clear" w:color="000000" w:fill="FFFFFF"/>
            <w:noWrap/>
            <w:vAlign w:val="bottom"/>
            <w:hideMark/>
          </w:tcPr>
          <w:p w14:paraId="11B6BD60" w14:textId="77777777" w:rsidR="00802E99" w:rsidRPr="00667022" w:rsidRDefault="00802E99" w:rsidP="004046F0">
            <w:pPr>
              <w:jc w:val="center"/>
              <w:rPr>
                <w:rFonts w:ascii="Arial" w:hAnsi="Arial" w:cs="Arial"/>
                <w:lang w:eastAsia="en-AU"/>
              </w:rPr>
            </w:pPr>
            <w:r w:rsidRPr="00667022">
              <w:rPr>
                <w:rFonts w:ascii="Arial" w:hAnsi="Arial" w:cs="Arial"/>
                <w:lang w:eastAsia="en-AU"/>
              </w:rPr>
              <w:t>697.8</w:t>
            </w:r>
          </w:p>
        </w:tc>
        <w:tc>
          <w:tcPr>
            <w:tcW w:w="2167" w:type="dxa"/>
            <w:tcBorders>
              <w:top w:val="nil"/>
              <w:left w:val="nil"/>
              <w:bottom w:val="nil"/>
              <w:right w:val="single" w:sz="4" w:space="0" w:color="auto"/>
            </w:tcBorders>
            <w:shd w:val="clear" w:color="000000" w:fill="FFFFFF"/>
            <w:noWrap/>
            <w:vAlign w:val="bottom"/>
            <w:hideMark/>
          </w:tcPr>
          <w:p w14:paraId="2A8BC353" w14:textId="77777777" w:rsidR="00802E99" w:rsidRPr="00667022" w:rsidRDefault="00802E99" w:rsidP="004046F0">
            <w:pPr>
              <w:jc w:val="center"/>
              <w:rPr>
                <w:rFonts w:ascii="Arial" w:hAnsi="Arial" w:cs="Arial"/>
                <w:lang w:eastAsia="en-AU"/>
              </w:rPr>
            </w:pPr>
            <w:r w:rsidRPr="00667022">
              <w:rPr>
                <w:rFonts w:ascii="Arial" w:hAnsi="Arial" w:cs="Arial"/>
                <w:lang w:eastAsia="en-AU"/>
              </w:rPr>
              <w:t>14.3</w:t>
            </w:r>
          </w:p>
        </w:tc>
      </w:tr>
      <w:tr w:rsidR="00802E99" w:rsidRPr="00667022" w14:paraId="479A0D5E" w14:textId="77777777" w:rsidTr="004046F0">
        <w:trPr>
          <w:trHeight w:val="311"/>
          <w:jc w:val="center"/>
        </w:trPr>
        <w:tc>
          <w:tcPr>
            <w:tcW w:w="4177" w:type="dxa"/>
            <w:tcBorders>
              <w:top w:val="nil"/>
              <w:left w:val="single" w:sz="4" w:space="0" w:color="auto"/>
              <w:bottom w:val="nil"/>
              <w:right w:val="nil"/>
            </w:tcBorders>
            <w:shd w:val="clear" w:color="auto" w:fill="auto"/>
            <w:noWrap/>
            <w:vAlign w:val="bottom"/>
            <w:hideMark/>
          </w:tcPr>
          <w:p w14:paraId="448D28BE" w14:textId="77777777" w:rsidR="00802E99" w:rsidRPr="00667022" w:rsidRDefault="00802E99" w:rsidP="004046F0">
            <w:pPr>
              <w:rPr>
                <w:rFonts w:ascii="Arial" w:hAnsi="Arial" w:cs="Arial"/>
                <w:color w:val="1F497D"/>
                <w:lang w:eastAsia="en-AU"/>
              </w:rPr>
            </w:pPr>
            <w:r w:rsidRPr="00667022">
              <w:rPr>
                <w:rFonts w:ascii="Arial" w:hAnsi="Arial" w:cs="Arial"/>
                <w:color w:val="1F497D"/>
                <w:lang w:eastAsia="en-AU"/>
              </w:rPr>
              <w:t xml:space="preserve">Cash </w:t>
            </w:r>
          </w:p>
        </w:tc>
        <w:tc>
          <w:tcPr>
            <w:tcW w:w="2545" w:type="dxa"/>
            <w:tcBorders>
              <w:top w:val="nil"/>
              <w:left w:val="single" w:sz="4" w:space="0" w:color="auto"/>
              <w:bottom w:val="nil"/>
              <w:right w:val="single" w:sz="4" w:space="0" w:color="auto"/>
            </w:tcBorders>
            <w:shd w:val="clear" w:color="000000" w:fill="FFFFFF"/>
            <w:noWrap/>
            <w:vAlign w:val="bottom"/>
            <w:hideMark/>
          </w:tcPr>
          <w:p w14:paraId="7660E31A" w14:textId="77777777" w:rsidR="00802E99" w:rsidRPr="00667022" w:rsidRDefault="00802E99" w:rsidP="004046F0">
            <w:pPr>
              <w:jc w:val="center"/>
              <w:rPr>
                <w:rFonts w:ascii="Arial" w:hAnsi="Arial" w:cs="Arial"/>
                <w:lang w:eastAsia="en-AU"/>
              </w:rPr>
            </w:pPr>
            <w:r>
              <w:rPr>
                <w:rFonts w:ascii="Arial" w:hAnsi="Arial" w:cs="Arial"/>
                <w:lang w:eastAsia="en-AU"/>
              </w:rPr>
              <w:t>1,002.2</w:t>
            </w:r>
          </w:p>
        </w:tc>
        <w:tc>
          <w:tcPr>
            <w:tcW w:w="2167" w:type="dxa"/>
            <w:tcBorders>
              <w:top w:val="nil"/>
              <w:left w:val="nil"/>
              <w:bottom w:val="nil"/>
              <w:right w:val="single" w:sz="4" w:space="0" w:color="auto"/>
            </w:tcBorders>
            <w:shd w:val="clear" w:color="000000" w:fill="FFFFFF"/>
            <w:noWrap/>
            <w:vAlign w:val="bottom"/>
            <w:hideMark/>
          </w:tcPr>
          <w:p w14:paraId="7DF553BA" w14:textId="77777777" w:rsidR="00802E99" w:rsidRPr="00667022" w:rsidRDefault="00802E99" w:rsidP="004046F0">
            <w:pPr>
              <w:jc w:val="center"/>
              <w:rPr>
                <w:rFonts w:ascii="Arial" w:hAnsi="Arial" w:cs="Arial"/>
                <w:lang w:eastAsia="en-AU"/>
              </w:rPr>
            </w:pPr>
            <w:r w:rsidRPr="00667022">
              <w:rPr>
                <w:rFonts w:ascii="Arial" w:hAnsi="Arial" w:cs="Arial"/>
                <w:lang w:eastAsia="en-AU"/>
              </w:rPr>
              <w:t>20.6</w:t>
            </w:r>
          </w:p>
        </w:tc>
      </w:tr>
      <w:tr w:rsidR="00802E99" w:rsidRPr="00667022" w14:paraId="242998C4" w14:textId="77777777" w:rsidTr="004046F0">
        <w:trPr>
          <w:trHeight w:val="737"/>
          <w:jc w:val="center"/>
        </w:trPr>
        <w:tc>
          <w:tcPr>
            <w:tcW w:w="4177" w:type="dxa"/>
            <w:tcBorders>
              <w:top w:val="single" w:sz="4" w:space="0" w:color="auto"/>
              <w:left w:val="single" w:sz="4" w:space="0" w:color="auto"/>
              <w:bottom w:val="single" w:sz="4" w:space="0" w:color="auto"/>
              <w:right w:val="nil"/>
            </w:tcBorders>
            <w:shd w:val="clear" w:color="000000" w:fill="DDEBF7"/>
            <w:vAlign w:val="center"/>
            <w:hideMark/>
          </w:tcPr>
          <w:p w14:paraId="7BFFA04B" w14:textId="77777777" w:rsidR="00802E99" w:rsidRPr="00667022" w:rsidRDefault="00802E99" w:rsidP="004046F0">
            <w:pPr>
              <w:rPr>
                <w:rFonts w:ascii="Arial" w:hAnsi="Arial" w:cs="Arial"/>
                <w:b/>
                <w:bCs/>
                <w:color w:val="1F497D"/>
                <w:lang w:eastAsia="en-AU"/>
              </w:rPr>
            </w:pPr>
            <w:r w:rsidRPr="00667022">
              <w:rPr>
                <w:rFonts w:ascii="Arial" w:hAnsi="Arial" w:cs="Arial"/>
                <w:b/>
                <w:bCs/>
                <w:color w:val="1F497D"/>
                <w:lang w:eastAsia="en-AU"/>
              </w:rPr>
              <w:t>Main Fund Investment Assets</w:t>
            </w:r>
          </w:p>
        </w:tc>
        <w:tc>
          <w:tcPr>
            <w:tcW w:w="2545" w:type="dxa"/>
            <w:tcBorders>
              <w:top w:val="single" w:sz="4" w:space="0" w:color="auto"/>
              <w:left w:val="single" w:sz="4" w:space="0" w:color="auto"/>
              <w:bottom w:val="single" w:sz="4" w:space="0" w:color="auto"/>
              <w:right w:val="nil"/>
            </w:tcBorders>
            <w:shd w:val="clear" w:color="000000" w:fill="DDEBF7"/>
            <w:vAlign w:val="center"/>
            <w:hideMark/>
          </w:tcPr>
          <w:p w14:paraId="18B55296" w14:textId="77777777" w:rsidR="00802E99" w:rsidRPr="00667022" w:rsidRDefault="00802E99" w:rsidP="004046F0">
            <w:pPr>
              <w:jc w:val="center"/>
              <w:rPr>
                <w:rFonts w:ascii="Arial" w:hAnsi="Arial" w:cs="Arial"/>
                <w:b/>
                <w:bCs/>
                <w:color w:val="1F497D"/>
                <w:lang w:eastAsia="en-AU"/>
              </w:rPr>
            </w:pPr>
            <w:r w:rsidRPr="00667022">
              <w:rPr>
                <w:rFonts w:ascii="Arial" w:hAnsi="Arial" w:cs="Arial"/>
                <w:b/>
                <w:bCs/>
                <w:color w:val="1F497D"/>
                <w:lang w:eastAsia="en-AU"/>
              </w:rPr>
              <w:t>4,87</w:t>
            </w:r>
            <w:r>
              <w:rPr>
                <w:rFonts w:ascii="Arial" w:hAnsi="Arial" w:cs="Arial"/>
                <w:b/>
                <w:bCs/>
                <w:color w:val="1F497D"/>
                <w:lang w:eastAsia="en-AU"/>
              </w:rPr>
              <w:t>1.5</w:t>
            </w:r>
          </w:p>
        </w:tc>
        <w:tc>
          <w:tcPr>
            <w:tcW w:w="216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F2E0959" w14:textId="77777777" w:rsidR="00802E99" w:rsidRPr="00667022" w:rsidRDefault="00802E99" w:rsidP="004046F0">
            <w:pPr>
              <w:jc w:val="center"/>
              <w:rPr>
                <w:rFonts w:ascii="Arial" w:hAnsi="Arial" w:cs="Arial"/>
                <w:b/>
                <w:bCs/>
                <w:color w:val="1F497D"/>
                <w:lang w:eastAsia="en-AU"/>
              </w:rPr>
            </w:pPr>
            <w:r w:rsidRPr="00667022">
              <w:rPr>
                <w:rFonts w:ascii="Arial" w:hAnsi="Arial" w:cs="Arial"/>
                <w:b/>
                <w:bCs/>
                <w:color w:val="1F497D"/>
                <w:lang w:eastAsia="en-AU"/>
              </w:rPr>
              <w:t>100.0</w:t>
            </w:r>
          </w:p>
        </w:tc>
      </w:tr>
      <w:tr w:rsidR="00802E99" w:rsidRPr="00667022" w14:paraId="49D4E921" w14:textId="77777777" w:rsidTr="004046F0">
        <w:trPr>
          <w:trHeight w:val="311"/>
          <w:jc w:val="center"/>
        </w:trPr>
        <w:tc>
          <w:tcPr>
            <w:tcW w:w="4177" w:type="dxa"/>
            <w:tcBorders>
              <w:top w:val="nil"/>
              <w:left w:val="single" w:sz="4" w:space="0" w:color="auto"/>
              <w:bottom w:val="single" w:sz="4" w:space="0" w:color="auto"/>
              <w:right w:val="nil"/>
            </w:tcBorders>
            <w:shd w:val="clear" w:color="auto" w:fill="auto"/>
            <w:noWrap/>
            <w:vAlign w:val="bottom"/>
            <w:hideMark/>
          </w:tcPr>
          <w:p w14:paraId="6AD64D60" w14:textId="77777777" w:rsidR="00802E99" w:rsidRPr="00667022" w:rsidRDefault="00802E99" w:rsidP="004046F0">
            <w:pPr>
              <w:rPr>
                <w:rFonts w:ascii="Arial" w:hAnsi="Arial" w:cs="Arial"/>
                <w:color w:val="1F497D"/>
                <w:lang w:eastAsia="en-AU"/>
              </w:rPr>
            </w:pPr>
            <w:r w:rsidRPr="00667022">
              <w:rPr>
                <w:rFonts w:ascii="Arial" w:hAnsi="Arial" w:cs="Arial"/>
                <w:color w:val="1F497D"/>
                <w:lang w:eastAsia="en-AU"/>
              </w:rPr>
              <w:t>MVCIF Investment Assets</w:t>
            </w:r>
          </w:p>
        </w:tc>
        <w:tc>
          <w:tcPr>
            <w:tcW w:w="2545" w:type="dxa"/>
            <w:tcBorders>
              <w:top w:val="nil"/>
              <w:left w:val="single" w:sz="4" w:space="0" w:color="auto"/>
              <w:bottom w:val="single" w:sz="4" w:space="0" w:color="auto"/>
              <w:right w:val="single" w:sz="4" w:space="0" w:color="auto"/>
            </w:tcBorders>
            <w:shd w:val="clear" w:color="000000" w:fill="FFFFFF"/>
            <w:noWrap/>
            <w:vAlign w:val="bottom"/>
            <w:hideMark/>
          </w:tcPr>
          <w:p w14:paraId="3A63423A" w14:textId="77777777" w:rsidR="00802E99" w:rsidRPr="00667022" w:rsidRDefault="00802E99" w:rsidP="004046F0">
            <w:pPr>
              <w:jc w:val="center"/>
              <w:rPr>
                <w:rFonts w:ascii="Arial" w:hAnsi="Arial" w:cs="Arial"/>
                <w:lang w:eastAsia="en-AU"/>
              </w:rPr>
            </w:pPr>
            <w:r>
              <w:rPr>
                <w:rFonts w:ascii="Arial" w:hAnsi="Arial" w:cs="Arial"/>
                <w:lang w:eastAsia="en-AU"/>
              </w:rPr>
              <w:t>448</w:t>
            </w:r>
            <w:r w:rsidRPr="00667022">
              <w:rPr>
                <w:rFonts w:ascii="Arial" w:hAnsi="Arial" w:cs="Arial"/>
                <w:lang w:eastAsia="en-AU"/>
              </w:rPr>
              <w:t>.</w:t>
            </w:r>
            <w:r>
              <w:rPr>
                <w:rFonts w:ascii="Arial" w:hAnsi="Arial" w:cs="Arial"/>
                <w:lang w:eastAsia="en-AU"/>
              </w:rPr>
              <w:t>4</w:t>
            </w:r>
          </w:p>
        </w:tc>
        <w:tc>
          <w:tcPr>
            <w:tcW w:w="2167" w:type="dxa"/>
            <w:vMerge w:val="restart"/>
            <w:tcBorders>
              <w:top w:val="nil"/>
              <w:left w:val="nil"/>
              <w:right w:val="single" w:sz="4" w:space="0" w:color="auto"/>
            </w:tcBorders>
            <w:shd w:val="clear" w:color="000000" w:fill="FFFFFF"/>
            <w:noWrap/>
            <w:vAlign w:val="bottom"/>
            <w:hideMark/>
          </w:tcPr>
          <w:p w14:paraId="0CF089B5" w14:textId="77777777" w:rsidR="00802E99" w:rsidRPr="00667022" w:rsidRDefault="00802E99" w:rsidP="004046F0">
            <w:pPr>
              <w:jc w:val="center"/>
              <w:rPr>
                <w:rFonts w:ascii="Arial" w:hAnsi="Arial" w:cs="Arial"/>
                <w:lang w:eastAsia="en-AU"/>
              </w:rPr>
            </w:pPr>
            <w:r w:rsidRPr="00667022">
              <w:rPr>
                <w:rFonts w:ascii="Arial" w:hAnsi="Arial" w:cs="Arial"/>
                <w:lang w:eastAsia="en-AU"/>
              </w:rPr>
              <w:t> </w:t>
            </w:r>
          </w:p>
          <w:p w14:paraId="02DFA80B" w14:textId="77777777" w:rsidR="00802E99" w:rsidRPr="00667022" w:rsidRDefault="00802E99" w:rsidP="004046F0">
            <w:pPr>
              <w:jc w:val="center"/>
              <w:rPr>
                <w:rFonts w:ascii="Arial" w:hAnsi="Arial" w:cs="Arial"/>
                <w:lang w:eastAsia="en-AU"/>
              </w:rPr>
            </w:pPr>
            <w:r w:rsidRPr="00667022">
              <w:rPr>
                <w:rFonts w:ascii="Arial" w:hAnsi="Arial" w:cs="Arial"/>
                <w:lang w:eastAsia="en-AU"/>
              </w:rPr>
              <w:t> </w:t>
            </w:r>
          </w:p>
          <w:p w14:paraId="593E65D1" w14:textId="77777777" w:rsidR="00802E99" w:rsidRPr="00667022" w:rsidRDefault="00802E99" w:rsidP="004046F0">
            <w:pPr>
              <w:jc w:val="center"/>
              <w:rPr>
                <w:rFonts w:ascii="Arial" w:hAnsi="Arial" w:cs="Arial"/>
                <w:lang w:eastAsia="en-AU"/>
              </w:rPr>
            </w:pPr>
            <w:r w:rsidRPr="00667022">
              <w:rPr>
                <w:rFonts w:ascii="Arial" w:hAnsi="Arial" w:cs="Arial"/>
                <w:b/>
                <w:bCs/>
                <w:color w:val="1F497D"/>
                <w:lang w:eastAsia="en-AU"/>
              </w:rPr>
              <w:t> </w:t>
            </w:r>
          </w:p>
        </w:tc>
      </w:tr>
      <w:tr w:rsidR="00802E99" w:rsidRPr="00667022" w14:paraId="209E64D9" w14:textId="77777777" w:rsidTr="004046F0">
        <w:trPr>
          <w:trHeight w:val="311"/>
          <w:jc w:val="center"/>
        </w:trPr>
        <w:tc>
          <w:tcPr>
            <w:tcW w:w="4177" w:type="dxa"/>
            <w:tcBorders>
              <w:top w:val="nil"/>
              <w:left w:val="single" w:sz="4" w:space="0" w:color="auto"/>
              <w:bottom w:val="single" w:sz="4" w:space="0" w:color="auto"/>
              <w:right w:val="nil"/>
            </w:tcBorders>
            <w:shd w:val="clear" w:color="auto" w:fill="auto"/>
            <w:noWrap/>
            <w:vAlign w:val="bottom"/>
          </w:tcPr>
          <w:p w14:paraId="08007E8B" w14:textId="77777777" w:rsidR="00802E99" w:rsidRPr="00667022" w:rsidRDefault="00802E99" w:rsidP="004046F0">
            <w:pPr>
              <w:rPr>
                <w:rFonts w:ascii="Arial" w:hAnsi="Arial" w:cs="Arial"/>
                <w:color w:val="1F497D"/>
                <w:lang w:eastAsia="en-AU"/>
              </w:rPr>
            </w:pPr>
            <w:r>
              <w:rPr>
                <w:rFonts w:ascii="Arial" w:hAnsi="Arial" w:cs="Arial"/>
                <w:color w:val="1F497D"/>
                <w:lang w:eastAsia="en-AU"/>
              </w:rPr>
              <w:t>Unsettled Purchases</w:t>
            </w:r>
          </w:p>
        </w:tc>
        <w:tc>
          <w:tcPr>
            <w:tcW w:w="2545" w:type="dxa"/>
            <w:tcBorders>
              <w:top w:val="nil"/>
              <w:left w:val="single" w:sz="4" w:space="0" w:color="auto"/>
              <w:bottom w:val="single" w:sz="4" w:space="0" w:color="auto"/>
              <w:right w:val="single" w:sz="4" w:space="0" w:color="auto"/>
            </w:tcBorders>
            <w:shd w:val="clear" w:color="000000" w:fill="FFFFFF"/>
            <w:noWrap/>
            <w:vAlign w:val="bottom"/>
          </w:tcPr>
          <w:p w14:paraId="16034F06" w14:textId="77777777" w:rsidR="00802E99" w:rsidRDefault="00802E99" w:rsidP="004046F0">
            <w:pPr>
              <w:jc w:val="center"/>
              <w:rPr>
                <w:rFonts w:ascii="Arial" w:hAnsi="Arial" w:cs="Arial"/>
                <w:lang w:eastAsia="en-AU"/>
              </w:rPr>
            </w:pPr>
            <w:r>
              <w:rPr>
                <w:rFonts w:ascii="Arial" w:hAnsi="Arial" w:cs="Arial"/>
                <w:lang w:eastAsia="en-AU"/>
              </w:rPr>
              <w:t>6.3</w:t>
            </w:r>
          </w:p>
        </w:tc>
        <w:tc>
          <w:tcPr>
            <w:tcW w:w="2167" w:type="dxa"/>
            <w:vMerge/>
            <w:tcBorders>
              <w:top w:val="nil"/>
              <w:left w:val="nil"/>
              <w:right w:val="single" w:sz="4" w:space="0" w:color="auto"/>
            </w:tcBorders>
            <w:shd w:val="clear" w:color="000000" w:fill="FFFFFF"/>
            <w:noWrap/>
            <w:vAlign w:val="bottom"/>
          </w:tcPr>
          <w:p w14:paraId="17FB5952" w14:textId="77777777" w:rsidR="00802E99" w:rsidRPr="00667022" w:rsidRDefault="00802E99" w:rsidP="004046F0">
            <w:pPr>
              <w:jc w:val="center"/>
              <w:rPr>
                <w:rFonts w:ascii="Arial" w:hAnsi="Arial" w:cs="Arial"/>
                <w:lang w:eastAsia="en-AU"/>
              </w:rPr>
            </w:pPr>
          </w:p>
        </w:tc>
      </w:tr>
      <w:tr w:rsidR="00802E99" w:rsidRPr="00667022" w14:paraId="2B025799" w14:textId="77777777" w:rsidTr="004046F0">
        <w:trPr>
          <w:trHeight w:val="311"/>
          <w:jc w:val="center"/>
        </w:trPr>
        <w:tc>
          <w:tcPr>
            <w:tcW w:w="4177" w:type="dxa"/>
            <w:tcBorders>
              <w:top w:val="nil"/>
              <w:left w:val="single" w:sz="4" w:space="0" w:color="auto"/>
              <w:bottom w:val="single" w:sz="4" w:space="0" w:color="auto"/>
              <w:right w:val="nil"/>
            </w:tcBorders>
            <w:shd w:val="clear" w:color="auto" w:fill="auto"/>
            <w:noWrap/>
            <w:vAlign w:val="bottom"/>
            <w:hideMark/>
          </w:tcPr>
          <w:p w14:paraId="778FAC4D" w14:textId="77777777" w:rsidR="00802E99" w:rsidRPr="00667022" w:rsidRDefault="00802E99" w:rsidP="004046F0">
            <w:pPr>
              <w:rPr>
                <w:rFonts w:ascii="Arial" w:hAnsi="Arial" w:cs="Arial"/>
                <w:color w:val="1F497D"/>
                <w:lang w:eastAsia="en-AU"/>
              </w:rPr>
            </w:pPr>
            <w:r w:rsidRPr="00667022">
              <w:rPr>
                <w:rFonts w:ascii="Arial" w:hAnsi="Arial" w:cs="Arial"/>
                <w:color w:val="1F497D"/>
                <w:lang w:eastAsia="en-AU"/>
              </w:rPr>
              <w:t>Non-Investment Assets</w:t>
            </w:r>
          </w:p>
        </w:tc>
        <w:tc>
          <w:tcPr>
            <w:tcW w:w="2545" w:type="dxa"/>
            <w:tcBorders>
              <w:top w:val="nil"/>
              <w:left w:val="single" w:sz="4" w:space="0" w:color="auto"/>
              <w:bottom w:val="single" w:sz="4" w:space="0" w:color="auto"/>
              <w:right w:val="single" w:sz="4" w:space="0" w:color="auto"/>
            </w:tcBorders>
            <w:shd w:val="clear" w:color="000000" w:fill="FFFFFF"/>
            <w:noWrap/>
            <w:vAlign w:val="bottom"/>
            <w:hideMark/>
          </w:tcPr>
          <w:p w14:paraId="5DD1ED26" w14:textId="77777777" w:rsidR="00802E99" w:rsidRPr="00667022" w:rsidRDefault="00802E99" w:rsidP="004046F0">
            <w:pPr>
              <w:jc w:val="center"/>
              <w:rPr>
                <w:rFonts w:ascii="Arial" w:hAnsi="Arial" w:cs="Arial"/>
                <w:lang w:eastAsia="en-AU"/>
              </w:rPr>
            </w:pPr>
            <w:r>
              <w:rPr>
                <w:rFonts w:ascii="Arial" w:hAnsi="Arial" w:cs="Arial"/>
                <w:lang w:eastAsia="en-AU"/>
              </w:rPr>
              <w:t>336.9</w:t>
            </w:r>
          </w:p>
        </w:tc>
        <w:tc>
          <w:tcPr>
            <w:tcW w:w="2167" w:type="dxa"/>
            <w:vMerge/>
            <w:tcBorders>
              <w:left w:val="nil"/>
              <w:right w:val="single" w:sz="4" w:space="0" w:color="auto"/>
            </w:tcBorders>
            <w:shd w:val="clear" w:color="000000" w:fill="FFFFFF"/>
            <w:noWrap/>
            <w:vAlign w:val="bottom"/>
            <w:hideMark/>
          </w:tcPr>
          <w:p w14:paraId="5983A94A" w14:textId="77777777" w:rsidR="00802E99" w:rsidRPr="00667022" w:rsidRDefault="00802E99" w:rsidP="004046F0">
            <w:pPr>
              <w:jc w:val="center"/>
              <w:rPr>
                <w:rFonts w:ascii="Arial" w:hAnsi="Arial" w:cs="Arial"/>
                <w:lang w:eastAsia="en-AU"/>
              </w:rPr>
            </w:pPr>
          </w:p>
        </w:tc>
      </w:tr>
      <w:tr w:rsidR="00802E99" w:rsidRPr="00667022" w14:paraId="3F0EC1F5" w14:textId="77777777" w:rsidTr="004046F0">
        <w:trPr>
          <w:trHeight w:val="655"/>
          <w:jc w:val="center"/>
        </w:trPr>
        <w:tc>
          <w:tcPr>
            <w:tcW w:w="4177" w:type="dxa"/>
            <w:tcBorders>
              <w:top w:val="nil"/>
              <w:left w:val="single" w:sz="4" w:space="0" w:color="auto"/>
              <w:bottom w:val="single" w:sz="4" w:space="0" w:color="auto"/>
              <w:right w:val="nil"/>
            </w:tcBorders>
            <w:shd w:val="clear" w:color="000000" w:fill="DDEBF7"/>
            <w:vAlign w:val="center"/>
            <w:hideMark/>
          </w:tcPr>
          <w:p w14:paraId="13E748A6" w14:textId="77777777" w:rsidR="00802E99" w:rsidRPr="00667022" w:rsidRDefault="00802E99" w:rsidP="004046F0">
            <w:pPr>
              <w:rPr>
                <w:rFonts w:ascii="Arial" w:hAnsi="Arial" w:cs="Arial"/>
                <w:b/>
                <w:bCs/>
                <w:color w:val="1F497D"/>
                <w:lang w:eastAsia="en-AU"/>
              </w:rPr>
            </w:pPr>
            <w:r w:rsidRPr="00667022">
              <w:rPr>
                <w:rFonts w:ascii="Arial" w:hAnsi="Arial" w:cs="Arial"/>
                <w:b/>
                <w:bCs/>
                <w:color w:val="1F497D"/>
                <w:lang w:eastAsia="en-AU"/>
              </w:rPr>
              <w:t>Total Assets</w:t>
            </w:r>
          </w:p>
        </w:tc>
        <w:tc>
          <w:tcPr>
            <w:tcW w:w="2545" w:type="dxa"/>
            <w:tcBorders>
              <w:top w:val="nil"/>
              <w:left w:val="single" w:sz="4" w:space="0" w:color="auto"/>
              <w:bottom w:val="single" w:sz="4" w:space="0" w:color="auto"/>
              <w:right w:val="nil"/>
            </w:tcBorders>
            <w:shd w:val="clear" w:color="000000" w:fill="DDEBF7"/>
            <w:vAlign w:val="center"/>
            <w:hideMark/>
          </w:tcPr>
          <w:p w14:paraId="2ADAC765" w14:textId="77777777" w:rsidR="00802E99" w:rsidRPr="00667022" w:rsidRDefault="00802E99" w:rsidP="004046F0">
            <w:pPr>
              <w:jc w:val="center"/>
              <w:rPr>
                <w:rFonts w:ascii="Arial" w:hAnsi="Arial" w:cs="Arial"/>
                <w:b/>
                <w:bCs/>
                <w:color w:val="1F497D"/>
                <w:lang w:eastAsia="en-AU"/>
              </w:rPr>
            </w:pPr>
            <w:r w:rsidRPr="00667022">
              <w:rPr>
                <w:rFonts w:ascii="Arial" w:hAnsi="Arial" w:cs="Arial"/>
                <w:b/>
                <w:bCs/>
                <w:color w:val="1F497D"/>
                <w:lang w:eastAsia="en-AU"/>
              </w:rPr>
              <w:t>5,</w:t>
            </w:r>
            <w:r>
              <w:rPr>
                <w:rFonts w:ascii="Arial" w:hAnsi="Arial" w:cs="Arial"/>
                <w:b/>
                <w:bCs/>
                <w:color w:val="1F497D"/>
                <w:lang w:eastAsia="en-AU"/>
              </w:rPr>
              <w:t>663.1</w:t>
            </w:r>
          </w:p>
        </w:tc>
        <w:tc>
          <w:tcPr>
            <w:tcW w:w="2167" w:type="dxa"/>
            <w:vMerge/>
            <w:tcBorders>
              <w:left w:val="single" w:sz="4" w:space="0" w:color="auto"/>
              <w:bottom w:val="single" w:sz="4" w:space="0" w:color="auto"/>
              <w:right w:val="single" w:sz="4" w:space="0" w:color="auto"/>
            </w:tcBorders>
            <w:shd w:val="clear" w:color="000000" w:fill="DDEBF7"/>
            <w:vAlign w:val="center"/>
            <w:hideMark/>
          </w:tcPr>
          <w:p w14:paraId="26204549" w14:textId="77777777" w:rsidR="00802E99" w:rsidRPr="00667022" w:rsidRDefault="00802E99" w:rsidP="004046F0">
            <w:pPr>
              <w:jc w:val="center"/>
              <w:rPr>
                <w:rFonts w:ascii="Arial" w:hAnsi="Arial" w:cs="Arial"/>
                <w:b/>
                <w:bCs/>
                <w:color w:val="1F497D"/>
                <w:lang w:eastAsia="en-AU"/>
              </w:rPr>
            </w:pPr>
          </w:p>
        </w:tc>
      </w:tr>
    </w:tbl>
    <w:p w14:paraId="3433B5F0" w14:textId="77777777" w:rsidR="00802E99" w:rsidRPr="0010159A" w:rsidRDefault="00802E99" w:rsidP="00802E99">
      <w:pPr>
        <w:spacing w:after="160" w:line="259" w:lineRule="auto"/>
        <w:rPr>
          <w:rFonts w:ascii="Arial" w:hAnsi="Arial" w:cs="Arial"/>
          <w:szCs w:val="24"/>
        </w:rPr>
      </w:pPr>
    </w:p>
    <w:p w14:paraId="3ED77B2C" w14:textId="77777777" w:rsidR="00802E99" w:rsidRPr="00337366" w:rsidRDefault="00802E99" w:rsidP="00802E99">
      <w:pPr>
        <w:pStyle w:val="MaintextStyleGroup1"/>
        <w:spacing w:line="240" w:lineRule="auto"/>
        <w:jc w:val="both"/>
        <w:rPr>
          <w:b/>
          <w:sz w:val="28"/>
          <w:szCs w:val="28"/>
          <w:lang w:val="en-AU"/>
        </w:rPr>
      </w:pPr>
      <w:r w:rsidRPr="00337366">
        <w:rPr>
          <w:b/>
          <w:sz w:val="28"/>
          <w:szCs w:val="28"/>
          <w:lang w:val="en-AU"/>
        </w:rPr>
        <w:t>Portfolio Positioning</w:t>
      </w:r>
    </w:p>
    <w:p w14:paraId="6B9D2FA8" w14:textId="77777777" w:rsidR="00802E99" w:rsidRDefault="00802E99" w:rsidP="00802E99">
      <w:pPr>
        <w:pStyle w:val="MaintextStyleGroup1"/>
        <w:spacing w:line="240" w:lineRule="auto"/>
        <w:jc w:val="both"/>
        <w:rPr>
          <w:lang w:val="en-AU"/>
        </w:rPr>
      </w:pPr>
      <w:r w:rsidRPr="0010159A">
        <w:rPr>
          <w:lang w:val="en-AU"/>
        </w:rPr>
        <w:t xml:space="preserve">The </w:t>
      </w:r>
      <w:r>
        <w:rPr>
          <w:lang w:val="en-AU"/>
        </w:rPr>
        <w:t>table</w:t>
      </w:r>
      <w:r w:rsidRPr="0010159A">
        <w:rPr>
          <w:lang w:val="en-AU"/>
        </w:rPr>
        <w:t xml:space="preserve"> below shows the Main Fund portfolio exposures by geography. </w:t>
      </w:r>
    </w:p>
    <w:p w14:paraId="083A36B9" w14:textId="77777777" w:rsidR="00802E99" w:rsidRPr="0010159A" w:rsidRDefault="00802E99" w:rsidP="00802E99">
      <w:pPr>
        <w:pStyle w:val="MaintextStyleGroup1"/>
        <w:spacing w:line="240" w:lineRule="auto"/>
        <w:jc w:val="both"/>
        <w:rPr>
          <w:lang w:val="en-AU"/>
        </w:rPr>
      </w:pPr>
    </w:p>
    <w:tbl>
      <w:tblPr>
        <w:tblW w:w="78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421"/>
        <w:gridCol w:w="1701"/>
      </w:tblGrid>
      <w:tr w:rsidR="00802E99" w:rsidRPr="0010159A" w14:paraId="43700BD2" w14:textId="77777777" w:rsidTr="004046F0">
        <w:trPr>
          <w:trHeight w:val="312"/>
        </w:trPr>
        <w:tc>
          <w:tcPr>
            <w:tcW w:w="3686" w:type="dxa"/>
            <w:shd w:val="clear" w:color="000000" w:fill="1F497D"/>
            <w:vAlign w:val="center"/>
            <w:hideMark/>
          </w:tcPr>
          <w:p w14:paraId="3C51FFE5" w14:textId="77777777" w:rsidR="00802E99" w:rsidRPr="0010159A" w:rsidRDefault="00802E99" w:rsidP="004046F0">
            <w:pPr>
              <w:rPr>
                <w:rFonts w:ascii="Arial" w:hAnsi="Arial" w:cs="Arial"/>
                <w:b/>
                <w:bCs/>
                <w:color w:val="FFFFFF"/>
                <w:szCs w:val="24"/>
                <w:lang w:eastAsia="en-AU"/>
              </w:rPr>
            </w:pPr>
            <w:r w:rsidRPr="00C21991">
              <w:rPr>
                <w:rFonts w:ascii="Arial" w:hAnsi="Arial" w:cs="Arial"/>
                <w:b/>
                <w:bCs/>
                <w:color w:val="FFFFFF"/>
                <w:lang w:eastAsia="en-AU"/>
              </w:rPr>
              <w:t>Geography</w:t>
            </w:r>
          </w:p>
        </w:tc>
        <w:tc>
          <w:tcPr>
            <w:tcW w:w="2421" w:type="dxa"/>
            <w:shd w:val="clear" w:color="000000" w:fill="1F497D"/>
            <w:vAlign w:val="center"/>
            <w:hideMark/>
          </w:tcPr>
          <w:p w14:paraId="30D2BFDF" w14:textId="77777777" w:rsidR="00802E99" w:rsidRPr="0010159A" w:rsidRDefault="00802E99" w:rsidP="004046F0">
            <w:pPr>
              <w:jc w:val="center"/>
              <w:rPr>
                <w:rFonts w:ascii="Arial" w:hAnsi="Arial" w:cs="Arial"/>
                <w:b/>
                <w:bCs/>
                <w:color w:val="FFFFFF"/>
                <w:szCs w:val="24"/>
                <w:lang w:eastAsia="en-AU"/>
              </w:rPr>
            </w:pPr>
            <w:r w:rsidRPr="00C21991">
              <w:rPr>
                <w:rFonts w:ascii="Arial" w:hAnsi="Arial" w:cs="Arial"/>
                <w:b/>
                <w:bCs/>
                <w:color w:val="FFFFFF"/>
                <w:lang w:eastAsia="en-AU"/>
              </w:rPr>
              <w:t>Market Value $m</w:t>
            </w:r>
          </w:p>
        </w:tc>
        <w:tc>
          <w:tcPr>
            <w:tcW w:w="1701" w:type="dxa"/>
            <w:shd w:val="clear" w:color="000000" w:fill="1F497D"/>
            <w:vAlign w:val="center"/>
            <w:hideMark/>
          </w:tcPr>
          <w:p w14:paraId="20179306" w14:textId="77777777" w:rsidR="00802E99" w:rsidRPr="0010159A" w:rsidRDefault="00802E99" w:rsidP="004046F0">
            <w:pPr>
              <w:jc w:val="right"/>
              <w:rPr>
                <w:rFonts w:ascii="Arial" w:hAnsi="Arial" w:cs="Arial"/>
                <w:b/>
                <w:bCs/>
                <w:color w:val="FFFFFF"/>
                <w:szCs w:val="24"/>
                <w:lang w:eastAsia="en-AU"/>
              </w:rPr>
            </w:pPr>
            <w:r w:rsidRPr="00C21991">
              <w:rPr>
                <w:rFonts w:ascii="Arial" w:hAnsi="Arial" w:cs="Arial"/>
                <w:b/>
                <w:bCs/>
                <w:color w:val="FFFFFF"/>
                <w:lang w:eastAsia="en-AU"/>
              </w:rPr>
              <w:t>% of Fund</w:t>
            </w:r>
          </w:p>
        </w:tc>
      </w:tr>
      <w:tr w:rsidR="00802E99" w:rsidRPr="0010159A" w14:paraId="43A5C9E9" w14:textId="77777777" w:rsidTr="004046F0">
        <w:trPr>
          <w:trHeight w:val="85"/>
        </w:trPr>
        <w:tc>
          <w:tcPr>
            <w:tcW w:w="3686" w:type="dxa"/>
            <w:shd w:val="clear" w:color="auto" w:fill="auto"/>
            <w:noWrap/>
            <w:vAlign w:val="bottom"/>
          </w:tcPr>
          <w:p w14:paraId="3C824B6F" w14:textId="77777777" w:rsidR="00802E99" w:rsidRPr="0010159A" w:rsidRDefault="00802E99" w:rsidP="004046F0">
            <w:pPr>
              <w:rPr>
                <w:rFonts w:ascii="Arial" w:hAnsi="Arial" w:cs="Arial"/>
                <w:color w:val="1F497D"/>
                <w:szCs w:val="24"/>
                <w:lang w:eastAsia="en-AU"/>
              </w:rPr>
            </w:pPr>
            <w:r w:rsidRPr="00C21991">
              <w:rPr>
                <w:rFonts w:ascii="Arial" w:hAnsi="Arial" w:cs="Arial"/>
                <w:color w:val="1F497D"/>
                <w:lang w:eastAsia="en-AU"/>
              </w:rPr>
              <w:t>Australia</w:t>
            </w:r>
          </w:p>
        </w:tc>
        <w:tc>
          <w:tcPr>
            <w:tcW w:w="2421" w:type="dxa"/>
            <w:shd w:val="clear" w:color="auto" w:fill="auto"/>
            <w:noWrap/>
            <w:vAlign w:val="bottom"/>
          </w:tcPr>
          <w:p w14:paraId="6D94BA7D" w14:textId="77777777" w:rsidR="00802E99" w:rsidRPr="0010159A" w:rsidRDefault="00802E99" w:rsidP="004046F0">
            <w:pPr>
              <w:jc w:val="center"/>
              <w:rPr>
                <w:rFonts w:ascii="Arial" w:hAnsi="Arial" w:cs="Arial"/>
                <w:b/>
                <w:bCs/>
                <w:szCs w:val="24"/>
                <w:lang w:eastAsia="en-AU"/>
              </w:rPr>
            </w:pPr>
            <w:r>
              <w:rPr>
                <w:rFonts w:ascii="Arial" w:hAnsi="Arial" w:cs="Arial"/>
                <w:lang w:eastAsia="en-AU"/>
              </w:rPr>
              <w:t>3,062.7</w:t>
            </w:r>
          </w:p>
        </w:tc>
        <w:tc>
          <w:tcPr>
            <w:tcW w:w="1701" w:type="dxa"/>
            <w:shd w:val="clear" w:color="auto" w:fill="auto"/>
            <w:noWrap/>
            <w:vAlign w:val="bottom"/>
          </w:tcPr>
          <w:p w14:paraId="7DC32D17" w14:textId="77777777" w:rsidR="00802E99" w:rsidRPr="0010159A" w:rsidRDefault="00802E99" w:rsidP="004046F0">
            <w:pPr>
              <w:jc w:val="center"/>
              <w:rPr>
                <w:rFonts w:ascii="Arial" w:hAnsi="Arial" w:cs="Arial"/>
                <w:szCs w:val="24"/>
              </w:rPr>
            </w:pPr>
            <w:r>
              <w:rPr>
                <w:rFonts w:ascii="Arial" w:hAnsi="Arial" w:cs="Arial"/>
                <w:lang w:eastAsia="en-AU"/>
              </w:rPr>
              <w:t>62.9</w:t>
            </w:r>
          </w:p>
        </w:tc>
      </w:tr>
      <w:tr w:rsidR="00802E99" w:rsidRPr="0010159A" w14:paraId="226FD588" w14:textId="77777777" w:rsidTr="004046F0">
        <w:trPr>
          <w:trHeight w:val="301"/>
        </w:trPr>
        <w:tc>
          <w:tcPr>
            <w:tcW w:w="3686" w:type="dxa"/>
            <w:shd w:val="clear" w:color="auto" w:fill="auto"/>
            <w:noWrap/>
            <w:vAlign w:val="bottom"/>
            <w:hideMark/>
          </w:tcPr>
          <w:p w14:paraId="4A3FC18A" w14:textId="77777777" w:rsidR="00802E99" w:rsidRPr="0010159A" w:rsidRDefault="00802E99" w:rsidP="004046F0">
            <w:pPr>
              <w:rPr>
                <w:rFonts w:ascii="Arial" w:hAnsi="Arial" w:cs="Arial"/>
                <w:color w:val="1F497D"/>
                <w:szCs w:val="24"/>
                <w:lang w:eastAsia="en-AU"/>
              </w:rPr>
            </w:pPr>
            <w:r w:rsidRPr="00C21991">
              <w:rPr>
                <w:rFonts w:ascii="Arial" w:hAnsi="Arial" w:cs="Arial"/>
                <w:color w:val="1F497D"/>
                <w:lang w:eastAsia="en-AU"/>
              </w:rPr>
              <w:t>U</w:t>
            </w:r>
            <w:r>
              <w:rPr>
                <w:rFonts w:ascii="Arial" w:hAnsi="Arial" w:cs="Arial"/>
                <w:color w:val="1F497D"/>
                <w:lang w:eastAsia="en-AU"/>
              </w:rPr>
              <w:t>nited States</w:t>
            </w:r>
          </w:p>
        </w:tc>
        <w:tc>
          <w:tcPr>
            <w:tcW w:w="2421" w:type="dxa"/>
            <w:shd w:val="clear" w:color="auto" w:fill="auto"/>
            <w:noWrap/>
            <w:vAlign w:val="bottom"/>
          </w:tcPr>
          <w:p w14:paraId="0AF0B96E" w14:textId="77777777" w:rsidR="00802E99" w:rsidRPr="0010159A" w:rsidRDefault="00802E99" w:rsidP="004046F0">
            <w:pPr>
              <w:jc w:val="center"/>
              <w:rPr>
                <w:rFonts w:ascii="Arial" w:hAnsi="Arial" w:cs="Arial"/>
                <w:bCs/>
                <w:szCs w:val="24"/>
                <w:lang w:eastAsia="en-AU"/>
              </w:rPr>
            </w:pPr>
            <w:r>
              <w:rPr>
                <w:rFonts w:ascii="Arial" w:hAnsi="Arial" w:cs="Arial"/>
                <w:lang w:eastAsia="en-AU"/>
              </w:rPr>
              <w:t>628.2</w:t>
            </w:r>
          </w:p>
        </w:tc>
        <w:tc>
          <w:tcPr>
            <w:tcW w:w="1701" w:type="dxa"/>
            <w:shd w:val="clear" w:color="auto" w:fill="auto"/>
            <w:noWrap/>
            <w:vAlign w:val="bottom"/>
          </w:tcPr>
          <w:p w14:paraId="500672D2" w14:textId="77777777" w:rsidR="00802E99" w:rsidRPr="0010159A" w:rsidRDefault="00802E99" w:rsidP="004046F0">
            <w:pPr>
              <w:jc w:val="center"/>
              <w:rPr>
                <w:rFonts w:ascii="Arial" w:hAnsi="Arial" w:cs="Arial"/>
                <w:szCs w:val="24"/>
                <w:lang w:eastAsia="en-AU"/>
              </w:rPr>
            </w:pPr>
            <w:r>
              <w:rPr>
                <w:rFonts w:ascii="Arial" w:hAnsi="Arial" w:cs="Arial"/>
                <w:lang w:eastAsia="en-AU"/>
              </w:rPr>
              <w:t>12.9</w:t>
            </w:r>
          </w:p>
        </w:tc>
      </w:tr>
      <w:tr w:rsidR="00802E99" w:rsidRPr="0010159A" w14:paraId="25DB5EBB" w14:textId="77777777" w:rsidTr="004046F0">
        <w:trPr>
          <w:trHeight w:val="301"/>
        </w:trPr>
        <w:tc>
          <w:tcPr>
            <w:tcW w:w="3686" w:type="dxa"/>
            <w:shd w:val="clear" w:color="auto" w:fill="auto"/>
            <w:noWrap/>
            <w:vAlign w:val="bottom"/>
            <w:hideMark/>
          </w:tcPr>
          <w:p w14:paraId="375F83D2" w14:textId="77777777" w:rsidR="00802E99" w:rsidRPr="0010159A" w:rsidRDefault="00802E99" w:rsidP="004046F0">
            <w:pPr>
              <w:rPr>
                <w:rFonts w:ascii="Arial" w:hAnsi="Arial" w:cs="Arial"/>
                <w:color w:val="1F497D"/>
                <w:szCs w:val="24"/>
                <w:lang w:eastAsia="en-AU"/>
              </w:rPr>
            </w:pPr>
            <w:r w:rsidRPr="00C21991">
              <w:rPr>
                <w:rFonts w:ascii="Arial" w:hAnsi="Arial" w:cs="Arial"/>
                <w:color w:val="1F497D"/>
                <w:lang w:eastAsia="en-AU"/>
              </w:rPr>
              <w:t>Asia ex Japan</w:t>
            </w:r>
          </w:p>
        </w:tc>
        <w:tc>
          <w:tcPr>
            <w:tcW w:w="2421" w:type="dxa"/>
            <w:shd w:val="clear" w:color="auto" w:fill="auto"/>
            <w:noWrap/>
            <w:vAlign w:val="bottom"/>
          </w:tcPr>
          <w:p w14:paraId="6650D8B7" w14:textId="77777777" w:rsidR="00802E99" w:rsidRPr="0010159A" w:rsidRDefault="00802E99" w:rsidP="004046F0">
            <w:pPr>
              <w:jc w:val="center"/>
              <w:rPr>
                <w:rFonts w:ascii="Arial" w:hAnsi="Arial" w:cs="Arial"/>
                <w:bCs/>
                <w:szCs w:val="24"/>
                <w:lang w:eastAsia="en-AU"/>
              </w:rPr>
            </w:pPr>
            <w:r>
              <w:rPr>
                <w:rFonts w:ascii="Arial" w:hAnsi="Arial" w:cs="Arial"/>
                <w:lang w:eastAsia="en-AU"/>
              </w:rPr>
              <w:t>250.5</w:t>
            </w:r>
          </w:p>
        </w:tc>
        <w:tc>
          <w:tcPr>
            <w:tcW w:w="1701" w:type="dxa"/>
            <w:shd w:val="clear" w:color="auto" w:fill="auto"/>
            <w:noWrap/>
            <w:vAlign w:val="bottom"/>
          </w:tcPr>
          <w:p w14:paraId="4696E4FB" w14:textId="77777777" w:rsidR="00802E99" w:rsidRPr="0010159A" w:rsidRDefault="00802E99" w:rsidP="004046F0">
            <w:pPr>
              <w:jc w:val="center"/>
              <w:rPr>
                <w:rFonts w:ascii="Arial" w:hAnsi="Arial" w:cs="Arial"/>
                <w:szCs w:val="24"/>
                <w:lang w:eastAsia="en-AU"/>
              </w:rPr>
            </w:pPr>
            <w:r>
              <w:rPr>
                <w:rFonts w:ascii="Arial" w:hAnsi="Arial" w:cs="Arial"/>
                <w:lang w:eastAsia="en-AU"/>
              </w:rPr>
              <w:t>5.1</w:t>
            </w:r>
          </w:p>
        </w:tc>
      </w:tr>
      <w:tr w:rsidR="00802E99" w:rsidRPr="0010159A" w14:paraId="06893AA5" w14:textId="77777777" w:rsidTr="004046F0">
        <w:trPr>
          <w:trHeight w:val="301"/>
        </w:trPr>
        <w:tc>
          <w:tcPr>
            <w:tcW w:w="3686" w:type="dxa"/>
            <w:shd w:val="clear" w:color="auto" w:fill="auto"/>
            <w:noWrap/>
            <w:vAlign w:val="bottom"/>
          </w:tcPr>
          <w:p w14:paraId="6BCDF4D6" w14:textId="77777777" w:rsidR="00802E99" w:rsidRPr="0010159A" w:rsidRDefault="00802E99" w:rsidP="004046F0">
            <w:pPr>
              <w:rPr>
                <w:rFonts w:ascii="Arial" w:hAnsi="Arial" w:cs="Arial"/>
                <w:color w:val="1F497D"/>
                <w:szCs w:val="24"/>
                <w:lang w:eastAsia="en-AU"/>
              </w:rPr>
            </w:pPr>
            <w:r w:rsidRPr="00C21991">
              <w:rPr>
                <w:rFonts w:ascii="Arial" w:hAnsi="Arial" w:cs="Arial"/>
                <w:color w:val="1F497D"/>
                <w:lang w:eastAsia="en-AU"/>
              </w:rPr>
              <w:t>Europe ex U</w:t>
            </w:r>
            <w:r>
              <w:rPr>
                <w:rFonts w:ascii="Arial" w:hAnsi="Arial" w:cs="Arial"/>
                <w:color w:val="1F497D"/>
                <w:lang w:eastAsia="en-AU"/>
              </w:rPr>
              <w:t>nited Kingdom</w:t>
            </w:r>
          </w:p>
        </w:tc>
        <w:tc>
          <w:tcPr>
            <w:tcW w:w="2421" w:type="dxa"/>
            <w:shd w:val="clear" w:color="auto" w:fill="auto"/>
            <w:noWrap/>
            <w:vAlign w:val="bottom"/>
          </w:tcPr>
          <w:p w14:paraId="5736ABD4" w14:textId="77777777" w:rsidR="00802E99" w:rsidRPr="0010159A" w:rsidRDefault="00802E99" w:rsidP="004046F0">
            <w:pPr>
              <w:jc w:val="center"/>
              <w:rPr>
                <w:rFonts w:ascii="Arial" w:hAnsi="Arial" w:cs="Arial"/>
                <w:bCs/>
                <w:szCs w:val="24"/>
                <w:lang w:eastAsia="en-AU"/>
              </w:rPr>
            </w:pPr>
            <w:r>
              <w:rPr>
                <w:rFonts w:ascii="Arial" w:hAnsi="Arial" w:cs="Arial"/>
                <w:lang w:eastAsia="en-AU"/>
              </w:rPr>
              <w:t>356.3</w:t>
            </w:r>
          </w:p>
        </w:tc>
        <w:tc>
          <w:tcPr>
            <w:tcW w:w="1701" w:type="dxa"/>
            <w:shd w:val="clear" w:color="auto" w:fill="auto"/>
            <w:noWrap/>
            <w:vAlign w:val="bottom"/>
          </w:tcPr>
          <w:p w14:paraId="676AC80B" w14:textId="77777777" w:rsidR="00802E99" w:rsidRPr="0010159A" w:rsidRDefault="00802E99" w:rsidP="004046F0">
            <w:pPr>
              <w:jc w:val="center"/>
              <w:rPr>
                <w:rFonts w:ascii="Arial" w:hAnsi="Arial" w:cs="Arial"/>
                <w:szCs w:val="24"/>
                <w:lang w:eastAsia="en-AU"/>
              </w:rPr>
            </w:pPr>
            <w:r>
              <w:rPr>
                <w:rFonts w:ascii="Arial" w:hAnsi="Arial" w:cs="Arial"/>
                <w:lang w:eastAsia="en-AU"/>
              </w:rPr>
              <w:t>7.3</w:t>
            </w:r>
          </w:p>
        </w:tc>
      </w:tr>
      <w:tr w:rsidR="00802E99" w:rsidRPr="0010159A" w14:paraId="1AC81807" w14:textId="77777777" w:rsidTr="004046F0">
        <w:trPr>
          <w:trHeight w:val="301"/>
        </w:trPr>
        <w:tc>
          <w:tcPr>
            <w:tcW w:w="3686" w:type="dxa"/>
            <w:shd w:val="clear" w:color="auto" w:fill="auto"/>
            <w:noWrap/>
            <w:vAlign w:val="bottom"/>
            <w:hideMark/>
          </w:tcPr>
          <w:p w14:paraId="599B8DF4" w14:textId="77777777" w:rsidR="00802E99" w:rsidRPr="0010159A" w:rsidRDefault="00802E99" w:rsidP="004046F0">
            <w:pPr>
              <w:rPr>
                <w:rFonts w:ascii="Arial" w:hAnsi="Arial" w:cs="Arial"/>
                <w:color w:val="1F497D"/>
                <w:szCs w:val="24"/>
                <w:lang w:eastAsia="en-AU"/>
              </w:rPr>
            </w:pPr>
            <w:r w:rsidRPr="00C21991">
              <w:rPr>
                <w:rFonts w:ascii="Arial" w:hAnsi="Arial" w:cs="Arial"/>
                <w:color w:val="1F497D"/>
                <w:lang w:eastAsia="en-AU"/>
              </w:rPr>
              <w:t>U</w:t>
            </w:r>
            <w:r>
              <w:rPr>
                <w:rFonts w:ascii="Arial" w:hAnsi="Arial" w:cs="Arial"/>
                <w:color w:val="1F497D"/>
                <w:lang w:eastAsia="en-AU"/>
              </w:rPr>
              <w:t>nited Kingdom</w:t>
            </w:r>
          </w:p>
        </w:tc>
        <w:tc>
          <w:tcPr>
            <w:tcW w:w="2421" w:type="dxa"/>
            <w:shd w:val="clear" w:color="auto" w:fill="auto"/>
            <w:noWrap/>
            <w:vAlign w:val="bottom"/>
          </w:tcPr>
          <w:p w14:paraId="3FA1A474" w14:textId="77777777" w:rsidR="00802E99" w:rsidRPr="0010159A" w:rsidRDefault="00802E99" w:rsidP="004046F0">
            <w:pPr>
              <w:jc w:val="center"/>
              <w:rPr>
                <w:rFonts w:ascii="Arial" w:hAnsi="Arial" w:cs="Arial"/>
                <w:bCs/>
                <w:szCs w:val="24"/>
                <w:lang w:eastAsia="en-AU"/>
              </w:rPr>
            </w:pPr>
            <w:r>
              <w:rPr>
                <w:rFonts w:ascii="Arial" w:hAnsi="Arial" w:cs="Arial"/>
                <w:lang w:eastAsia="en-AU"/>
              </w:rPr>
              <w:t>218.1</w:t>
            </w:r>
          </w:p>
        </w:tc>
        <w:tc>
          <w:tcPr>
            <w:tcW w:w="1701" w:type="dxa"/>
            <w:shd w:val="clear" w:color="auto" w:fill="auto"/>
            <w:noWrap/>
            <w:vAlign w:val="bottom"/>
          </w:tcPr>
          <w:p w14:paraId="372ED5AD" w14:textId="77777777" w:rsidR="00802E99" w:rsidRPr="0010159A" w:rsidRDefault="00802E99" w:rsidP="004046F0">
            <w:pPr>
              <w:jc w:val="center"/>
              <w:rPr>
                <w:rFonts w:ascii="Arial" w:hAnsi="Arial" w:cs="Arial"/>
                <w:szCs w:val="24"/>
                <w:lang w:eastAsia="en-AU"/>
              </w:rPr>
            </w:pPr>
            <w:r w:rsidRPr="00C21991">
              <w:rPr>
                <w:rFonts w:ascii="Arial" w:hAnsi="Arial" w:cs="Arial"/>
                <w:lang w:eastAsia="en-AU"/>
              </w:rPr>
              <w:t>4.</w:t>
            </w:r>
            <w:r>
              <w:rPr>
                <w:rFonts w:ascii="Arial" w:hAnsi="Arial" w:cs="Arial"/>
                <w:lang w:eastAsia="en-AU"/>
              </w:rPr>
              <w:t>5</w:t>
            </w:r>
          </w:p>
        </w:tc>
      </w:tr>
      <w:tr w:rsidR="00802E99" w:rsidRPr="0010159A" w14:paraId="6A64B143" w14:textId="77777777" w:rsidTr="004046F0">
        <w:trPr>
          <w:trHeight w:val="301"/>
        </w:trPr>
        <w:tc>
          <w:tcPr>
            <w:tcW w:w="3686" w:type="dxa"/>
            <w:shd w:val="clear" w:color="auto" w:fill="auto"/>
            <w:noWrap/>
            <w:vAlign w:val="bottom"/>
            <w:hideMark/>
          </w:tcPr>
          <w:p w14:paraId="094E97A4" w14:textId="77777777" w:rsidR="00802E99" w:rsidRPr="0010159A" w:rsidRDefault="00802E99" w:rsidP="004046F0">
            <w:pPr>
              <w:rPr>
                <w:rFonts w:ascii="Arial" w:hAnsi="Arial" w:cs="Arial"/>
                <w:color w:val="1F497D"/>
                <w:szCs w:val="24"/>
                <w:lang w:eastAsia="en-AU"/>
              </w:rPr>
            </w:pPr>
            <w:r w:rsidRPr="00C21991">
              <w:rPr>
                <w:rFonts w:ascii="Arial" w:hAnsi="Arial" w:cs="Arial"/>
                <w:color w:val="1F497D"/>
                <w:lang w:eastAsia="en-AU"/>
              </w:rPr>
              <w:t>Japan</w:t>
            </w:r>
          </w:p>
        </w:tc>
        <w:tc>
          <w:tcPr>
            <w:tcW w:w="2421" w:type="dxa"/>
            <w:shd w:val="clear" w:color="auto" w:fill="auto"/>
            <w:noWrap/>
            <w:vAlign w:val="bottom"/>
          </w:tcPr>
          <w:p w14:paraId="271C32EA" w14:textId="77777777" w:rsidR="00802E99" w:rsidRPr="0010159A" w:rsidRDefault="00802E99" w:rsidP="004046F0">
            <w:pPr>
              <w:jc w:val="center"/>
              <w:rPr>
                <w:rFonts w:ascii="Arial" w:hAnsi="Arial" w:cs="Arial"/>
                <w:bCs/>
                <w:szCs w:val="24"/>
                <w:lang w:eastAsia="en-AU"/>
              </w:rPr>
            </w:pPr>
            <w:r>
              <w:rPr>
                <w:rFonts w:ascii="Arial" w:hAnsi="Arial" w:cs="Arial"/>
                <w:lang w:eastAsia="en-AU"/>
              </w:rPr>
              <w:t>57.8</w:t>
            </w:r>
          </w:p>
        </w:tc>
        <w:tc>
          <w:tcPr>
            <w:tcW w:w="1701" w:type="dxa"/>
            <w:shd w:val="clear" w:color="auto" w:fill="auto"/>
            <w:noWrap/>
            <w:vAlign w:val="bottom"/>
          </w:tcPr>
          <w:p w14:paraId="7FDA07A8" w14:textId="77777777" w:rsidR="00802E99" w:rsidRPr="0010159A" w:rsidRDefault="00802E99" w:rsidP="004046F0">
            <w:pPr>
              <w:jc w:val="center"/>
              <w:rPr>
                <w:rFonts w:ascii="Arial" w:hAnsi="Arial" w:cs="Arial"/>
                <w:szCs w:val="24"/>
                <w:lang w:eastAsia="en-AU"/>
              </w:rPr>
            </w:pPr>
            <w:r w:rsidRPr="00C21991">
              <w:rPr>
                <w:rFonts w:ascii="Arial" w:hAnsi="Arial" w:cs="Arial"/>
                <w:lang w:eastAsia="en-AU"/>
              </w:rPr>
              <w:t>1.</w:t>
            </w:r>
            <w:r>
              <w:rPr>
                <w:rFonts w:ascii="Arial" w:hAnsi="Arial" w:cs="Arial"/>
                <w:lang w:eastAsia="en-AU"/>
              </w:rPr>
              <w:t>2</w:t>
            </w:r>
          </w:p>
        </w:tc>
      </w:tr>
      <w:tr w:rsidR="00802E99" w:rsidRPr="0010159A" w14:paraId="66593EC5" w14:textId="77777777" w:rsidTr="004046F0">
        <w:trPr>
          <w:trHeight w:val="301"/>
        </w:trPr>
        <w:tc>
          <w:tcPr>
            <w:tcW w:w="3686" w:type="dxa"/>
            <w:shd w:val="clear" w:color="auto" w:fill="auto"/>
            <w:noWrap/>
            <w:vAlign w:val="bottom"/>
            <w:hideMark/>
          </w:tcPr>
          <w:p w14:paraId="33F153A6" w14:textId="77777777" w:rsidR="00802E99" w:rsidRPr="0010159A" w:rsidRDefault="00802E99" w:rsidP="004046F0">
            <w:pPr>
              <w:rPr>
                <w:rFonts w:ascii="Arial" w:hAnsi="Arial" w:cs="Arial"/>
                <w:color w:val="1F497D"/>
                <w:szCs w:val="24"/>
                <w:lang w:eastAsia="en-AU"/>
              </w:rPr>
            </w:pPr>
            <w:r w:rsidRPr="00C21991">
              <w:rPr>
                <w:rFonts w:ascii="Arial" w:hAnsi="Arial" w:cs="Arial"/>
                <w:color w:val="1F497D"/>
                <w:lang w:eastAsia="en-AU"/>
              </w:rPr>
              <w:t>Other</w:t>
            </w:r>
          </w:p>
        </w:tc>
        <w:tc>
          <w:tcPr>
            <w:tcW w:w="2421" w:type="dxa"/>
            <w:shd w:val="clear" w:color="auto" w:fill="auto"/>
            <w:noWrap/>
            <w:vAlign w:val="bottom"/>
          </w:tcPr>
          <w:p w14:paraId="4C22C7E4" w14:textId="77777777" w:rsidR="00802E99" w:rsidRPr="0010159A" w:rsidRDefault="00802E99" w:rsidP="004046F0">
            <w:pPr>
              <w:jc w:val="center"/>
              <w:rPr>
                <w:rFonts w:ascii="Arial" w:hAnsi="Arial" w:cs="Arial"/>
                <w:bCs/>
                <w:szCs w:val="24"/>
                <w:lang w:eastAsia="en-AU"/>
              </w:rPr>
            </w:pPr>
            <w:r>
              <w:rPr>
                <w:rFonts w:ascii="Arial" w:hAnsi="Arial" w:cs="Arial"/>
                <w:lang w:eastAsia="en-AU"/>
              </w:rPr>
              <w:t>297.9</w:t>
            </w:r>
          </w:p>
        </w:tc>
        <w:tc>
          <w:tcPr>
            <w:tcW w:w="1701" w:type="dxa"/>
            <w:shd w:val="clear" w:color="auto" w:fill="auto"/>
            <w:noWrap/>
            <w:vAlign w:val="bottom"/>
          </w:tcPr>
          <w:p w14:paraId="6D5B65B2" w14:textId="77777777" w:rsidR="00802E99" w:rsidRPr="0010159A" w:rsidRDefault="00802E99" w:rsidP="004046F0">
            <w:pPr>
              <w:jc w:val="center"/>
              <w:rPr>
                <w:rFonts w:ascii="Arial" w:hAnsi="Arial" w:cs="Arial"/>
                <w:szCs w:val="24"/>
                <w:lang w:eastAsia="en-AU"/>
              </w:rPr>
            </w:pPr>
            <w:r>
              <w:rPr>
                <w:rFonts w:ascii="Arial" w:hAnsi="Arial" w:cs="Arial"/>
                <w:lang w:eastAsia="en-AU"/>
              </w:rPr>
              <w:t>6.1</w:t>
            </w:r>
          </w:p>
        </w:tc>
      </w:tr>
      <w:tr w:rsidR="00802E99" w:rsidRPr="0010159A" w14:paraId="601120CE" w14:textId="77777777" w:rsidTr="004046F0">
        <w:trPr>
          <w:trHeight w:val="301"/>
        </w:trPr>
        <w:tc>
          <w:tcPr>
            <w:tcW w:w="3686" w:type="dxa"/>
            <w:shd w:val="clear" w:color="auto" w:fill="DEEAF6" w:themeFill="accent1" w:themeFillTint="33"/>
            <w:noWrap/>
            <w:vAlign w:val="center"/>
            <w:hideMark/>
          </w:tcPr>
          <w:p w14:paraId="08C9F4FF" w14:textId="77777777" w:rsidR="00802E99" w:rsidRPr="0010159A" w:rsidRDefault="00802E99" w:rsidP="004046F0">
            <w:pPr>
              <w:rPr>
                <w:rFonts w:ascii="Arial" w:hAnsi="Arial" w:cs="Arial"/>
                <w:color w:val="1F497D"/>
                <w:szCs w:val="24"/>
                <w:lang w:eastAsia="en-AU"/>
              </w:rPr>
            </w:pPr>
            <w:r w:rsidRPr="00C21991">
              <w:rPr>
                <w:rFonts w:ascii="Arial" w:hAnsi="Arial" w:cs="Arial"/>
                <w:b/>
                <w:bCs/>
                <w:color w:val="1F497D"/>
                <w:lang w:eastAsia="en-AU"/>
              </w:rPr>
              <w:t>Main Fund Investment Assets</w:t>
            </w:r>
          </w:p>
        </w:tc>
        <w:tc>
          <w:tcPr>
            <w:tcW w:w="2421" w:type="dxa"/>
            <w:shd w:val="clear" w:color="auto" w:fill="DEEAF6" w:themeFill="accent1" w:themeFillTint="33"/>
            <w:noWrap/>
            <w:vAlign w:val="center"/>
          </w:tcPr>
          <w:p w14:paraId="46C87D8E" w14:textId="77777777" w:rsidR="00802E99" w:rsidRPr="0010159A" w:rsidRDefault="00802E99" w:rsidP="004046F0">
            <w:pPr>
              <w:jc w:val="center"/>
              <w:rPr>
                <w:rFonts w:ascii="Arial" w:hAnsi="Arial" w:cs="Arial"/>
                <w:bCs/>
                <w:szCs w:val="24"/>
                <w:lang w:eastAsia="en-AU"/>
              </w:rPr>
            </w:pPr>
            <w:r>
              <w:rPr>
                <w:rFonts w:ascii="Arial" w:hAnsi="Arial" w:cs="Arial"/>
                <w:b/>
                <w:bCs/>
                <w:color w:val="1F497D"/>
                <w:lang w:eastAsia="en-AU"/>
              </w:rPr>
              <w:t>4,871.5</w:t>
            </w:r>
          </w:p>
        </w:tc>
        <w:tc>
          <w:tcPr>
            <w:tcW w:w="1701" w:type="dxa"/>
            <w:shd w:val="clear" w:color="auto" w:fill="DEEAF6" w:themeFill="accent1" w:themeFillTint="33"/>
            <w:noWrap/>
            <w:vAlign w:val="center"/>
          </w:tcPr>
          <w:p w14:paraId="14857CCA" w14:textId="77777777" w:rsidR="00802E99" w:rsidRPr="0010159A" w:rsidRDefault="00802E99" w:rsidP="004046F0">
            <w:pPr>
              <w:jc w:val="center"/>
              <w:rPr>
                <w:rFonts w:ascii="Arial" w:hAnsi="Arial" w:cs="Arial"/>
                <w:szCs w:val="24"/>
                <w:lang w:eastAsia="en-AU"/>
              </w:rPr>
            </w:pPr>
            <w:r w:rsidRPr="00C21991">
              <w:rPr>
                <w:rFonts w:ascii="Arial" w:hAnsi="Arial" w:cs="Arial"/>
                <w:b/>
                <w:bCs/>
                <w:color w:val="1F497D"/>
                <w:lang w:eastAsia="en-AU"/>
              </w:rPr>
              <w:t>100.0</w:t>
            </w:r>
          </w:p>
        </w:tc>
      </w:tr>
      <w:tr w:rsidR="00802E99" w:rsidRPr="0010159A" w14:paraId="7B3DA53B" w14:textId="77777777" w:rsidTr="004046F0">
        <w:trPr>
          <w:trHeight w:val="85"/>
        </w:trPr>
        <w:tc>
          <w:tcPr>
            <w:tcW w:w="3686" w:type="dxa"/>
            <w:shd w:val="clear" w:color="auto" w:fill="auto"/>
            <w:noWrap/>
            <w:vAlign w:val="bottom"/>
          </w:tcPr>
          <w:p w14:paraId="0C246D5C" w14:textId="77777777" w:rsidR="00802E99" w:rsidRPr="0010159A" w:rsidRDefault="00802E99" w:rsidP="004046F0">
            <w:pPr>
              <w:rPr>
                <w:rFonts w:ascii="Arial" w:hAnsi="Arial" w:cs="Arial"/>
                <w:color w:val="1F497D"/>
                <w:szCs w:val="24"/>
                <w:lang w:eastAsia="en-AU"/>
              </w:rPr>
            </w:pPr>
            <w:r w:rsidRPr="00C21991">
              <w:rPr>
                <w:rFonts w:ascii="Arial" w:hAnsi="Arial" w:cs="Arial"/>
                <w:color w:val="1F497D"/>
                <w:lang w:eastAsia="en-AU"/>
              </w:rPr>
              <w:t>MVCIF Investment Assets</w:t>
            </w:r>
          </w:p>
        </w:tc>
        <w:tc>
          <w:tcPr>
            <w:tcW w:w="2421" w:type="dxa"/>
            <w:shd w:val="clear" w:color="auto" w:fill="auto"/>
            <w:noWrap/>
            <w:vAlign w:val="bottom"/>
          </w:tcPr>
          <w:p w14:paraId="6C8412D3" w14:textId="77777777" w:rsidR="00802E99" w:rsidRPr="0010159A" w:rsidRDefault="00802E99" w:rsidP="004046F0">
            <w:pPr>
              <w:jc w:val="center"/>
              <w:rPr>
                <w:rFonts w:ascii="Arial" w:hAnsi="Arial" w:cs="Arial"/>
                <w:b/>
                <w:bCs/>
                <w:szCs w:val="24"/>
                <w:lang w:eastAsia="en-AU"/>
              </w:rPr>
            </w:pPr>
            <w:r>
              <w:rPr>
                <w:rFonts w:ascii="Arial" w:hAnsi="Arial" w:cs="Arial"/>
                <w:lang w:eastAsia="en-AU"/>
              </w:rPr>
              <w:t>448.4</w:t>
            </w:r>
          </w:p>
        </w:tc>
        <w:tc>
          <w:tcPr>
            <w:tcW w:w="1701" w:type="dxa"/>
            <w:vMerge w:val="restart"/>
            <w:shd w:val="clear" w:color="auto" w:fill="auto"/>
            <w:noWrap/>
            <w:vAlign w:val="bottom"/>
          </w:tcPr>
          <w:p w14:paraId="21D30F88" w14:textId="77777777" w:rsidR="00802E99" w:rsidRPr="0010159A" w:rsidRDefault="00802E99" w:rsidP="004046F0">
            <w:pPr>
              <w:jc w:val="center"/>
              <w:rPr>
                <w:rFonts w:ascii="Arial" w:hAnsi="Arial" w:cs="Arial"/>
                <w:szCs w:val="24"/>
                <w:lang w:eastAsia="en-AU"/>
              </w:rPr>
            </w:pPr>
            <w:r w:rsidRPr="00C21991">
              <w:rPr>
                <w:rFonts w:ascii="Arial" w:hAnsi="Arial" w:cs="Arial"/>
                <w:lang w:eastAsia="en-AU"/>
              </w:rPr>
              <w:t> </w:t>
            </w:r>
          </w:p>
          <w:p w14:paraId="39079705" w14:textId="77777777" w:rsidR="00802E99" w:rsidRPr="0010159A" w:rsidRDefault="00802E99" w:rsidP="004046F0">
            <w:pPr>
              <w:jc w:val="center"/>
              <w:rPr>
                <w:rFonts w:ascii="Arial" w:hAnsi="Arial" w:cs="Arial"/>
                <w:b/>
                <w:bCs/>
                <w:color w:val="1F497D"/>
                <w:szCs w:val="24"/>
                <w:lang w:eastAsia="en-AU"/>
              </w:rPr>
            </w:pPr>
            <w:r w:rsidRPr="00C21991">
              <w:rPr>
                <w:rFonts w:ascii="Arial" w:hAnsi="Arial" w:cs="Arial"/>
                <w:lang w:eastAsia="en-AU"/>
              </w:rPr>
              <w:t> </w:t>
            </w:r>
          </w:p>
          <w:p w14:paraId="733960A6" w14:textId="77777777" w:rsidR="00802E99" w:rsidRPr="0010159A" w:rsidRDefault="00802E99" w:rsidP="004046F0">
            <w:pPr>
              <w:jc w:val="center"/>
              <w:rPr>
                <w:rFonts w:ascii="Arial" w:hAnsi="Arial" w:cs="Arial"/>
                <w:szCs w:val="24"/>
                <w:lang w:eastAsia="en-AU"/>
              </w:rPr>
            </w:pPr>
            <w:r w:rsidRPr="00C21991">
              <w:rPr>
                <w:rFonts w:ascii="Arial" w:hAnsi="Arial" w:cs="Arial"/>
                <w:b/>
                <w:bCs/>
                <w:color w:val="1F497D"/>
                <w:lang w:eastAsia="en-AU"/>
              </w:rPr>
              <w:t> </w:t>
            </w:r>
          </w:p>
        </w:tc>
      </w:tr>
      <w:tr w:rsidR="00802E99" w:rsidRPr="0010159A" w14:paraId="1C53469D" w14:textId="77777777" w:rsidTr="004046F0">
        <w:trPr>
          <w:trHeight w:val="85"/>
        </w:trPr>
        <w:tc>
          <w:tcPr>
            <w:tcW w:w="3686" w:type="dxa"/>
            <w:shd w:val="clear" w:color="auto" w:fill="auto"/>
            <w:noWrap/>
            <w:vAlign w:val="bottom"/>
          </w:tcPr>
          <w:p w14:paraId="06F8BC0D" w14:textId="77777777" w:rsidR="00802E99" w:rsidRPr="00C21991" w:rsidRDefault="00802E99" w:rsidP="004046F0">
            <w:pPr>
              <w:rPr>
                <w:rFonts w:ascii="Arial" w:hAnsi="Arial" w:cs="Arial"/>
                <w:color w:val="1F497D"/>
                <w:lang w:eastAsia="en-AU"/>
              </w:rPr>
            </w:pPr>
            <w:r>
              <w:rPr>
                <w:rFonts w:ascii="Arial" w:hAnsi="Arial" w:cs="Arial"/>
                <w:color w:val="1F497D"/>
                <w:lang w:eastAsia="en-AU"/>
              </w:rPr>
              <w:t>Unsettled Purchases</w:t>
            </w:r>
          </w:p>
        </w:tc>
        <w:tc>
          <w:tcPr>
            <w:tcW w:w="2421" w:type="dxa"/>
            <w:shd w:val="clear" w:color="auto" w:fill="auto"/>
            <w:noWrap/>
            <w:vAlign w:val="bottom"/>
          </w:tcPr>
          <w:p w14:paraId="0F52FCB1" w14:textId="77777777" w:rsidR="00802E99" w:rsidRDefault="00802E99" w:rsidP="004046F0">
            <w:pPr>
              <w:jc w:val="center"/>
              <w:rPr>
                <w:rFonts w:ascii="Arial" w:hAnsi="Arial" w:cs="Arial"/>
                <w:lang w:eastAsia="en-AU"/>
              </w:rPr>
            </w:pPr>
            <w:r>
              <w:rPr>
                <w:rFonts w:ascii="Arial" w:hAnsi="Arial" w:cs="Arial"/>
                <w:lang w:eastAsia="en-AU"/>
              </w:rPr>
              <w:t>6.3</w:t>
            </w:r>
          </w:p>
        </w:tc>
        <w:tc>
          <w:tcPr>
            <w:tcW w:w="1701" w:type="dxa"/>
            <w:vMerge/>
            <w:shd w:val="clear" w:color="auto" w:fill="auto"/>
            <w:noWrap/>
            <w:vAlign w:val="bottom"/>
          </w:tcPr>
          <w:p w14:paraId="7DB4CE17" w14:textId="77777777" w:rsidR="00802E99" w:rsidRPr="00C21991" w:rsidRDefault="00802E99" w:rsidP="004046F0">
            <w:pPr>
              <w:jc w:val="center"/>
              <w:rPr>
                <w:rFonts w:ascii="Arial" w:hAnsi="Arial" w:cs="Arial"/>
                <w:lang w:eastAsia="en-AU"/>
              </w:rPr>
            </w:pPr>
          </w:p>
        </w:tc>
      </w:tr>
      <w:tr w:rsidR="00802E99" w:rsidRPr="0010159A" w14:paraId="5ADA850D" w14:textId="77777777" w:rsidTr="004046F0">
        <w:trPr>
          <w:trHeight w:val="301"/>
        </w:trPr>
        <w:tc>
          <w:tcPr>
            <w:tcW w:w="3686" w:type="dxa"/>
            <w:shd w:val="clear" w:color="auto" w:fill="auto"/>
            <w:noWrap/>
            <w:vAlign w:val="bottom"/>
          </w:tcPr>
          <w:p w14:paraId="41C8AB0F" w14:textId="77777777" w:rsidR="00802E99" w:rsidRPr="0010159A" w:rsidRDefault="00802E99" w:rsidP="004046F0">
            <w:pPr>
              <w:rPr>
                <w:rFonts w:ascii="Arial" w:hAnsi="Arial" w:cs="Arial"/>
                <w:b/>
                <w:bCs/>
                <w:color w:val="1F497D"/>
                <w:szCs w:val="24"/>
                <w:lang w:eastAsia="en-AU"/>
              </w:rPr>
            </w:pPr>
            <w:r w:rsidRPr="00C21991">
              <w:rPr>
                <w:rFonts w:ascii="Arial" w:hAnsi="Arial" w:cs="Arial"/>
                <w:color w:val="1F497D"/>
                <w:lang w:eastAsia="en-AU"/>
              </w:rPr>
              <w:t>Non-Investment Assets</w:t>
            </w:r>
          </w:p>
        </w:tc>
        <w:tc>
          <w:tcPr>
            <w:tcW w:w="2421" w:type="dxa"/>
            <w:shd w:val="clear" w:color="auto" w:fill="auto"/>
            <w:noWrap/>
            <w:vAlign w:val="bottom"/>
          </w:tcPr>
          <w:p w14:paraId="4A5736DD" w14:textId="77777777" w:rsidR="00802E99" w:rsidRPr="0010159A" w:rsidRDefault="00802E99" w:rsidP="004046F0">
            <w:pPr>
              <w:jc w:val="center"/>
              <w:rPr>
                <w:rFonts w:ascii="Arial" w:hAnsi="Arial" w:cs="Arial"/>
                <w:b/>
                <w:bCs/>
                <w:color w:val="1F497D"/>
                <w:szCs w:val="24"/>
                <w:lang w:eastAsia="en-AU"/>
              </w:rPr>
            </w:pPr>
            <w:r>
              <w:rPr>
                <w:rFonts w:ascii="Arial" w:hAnsi="Arial" w:cs="Arial"/>
                <w:lang w:eastAsia="en-AU"/>
              </w:rPr>
              <w:t>336.9</w:t>
            </w:r>
          </w:p>
        </w:tc>
        <w:tc>
          <w:tcPr>
            <w:tcW w:w="1701" w:type="dxa"/>
            <w:vMerge/>
            <w:shd w:val="clear" w:color="000000" w:fill="DDEBF7"/>
            <w:noWrap/>
            <w:vAlign w:val="bottom"/>
          </w:tcPr>
          <w:p w14:paraId="0EE0A304" w14:textId="77777777" w:rsidR="00802E99" w:rsidRPr="0010159A" w:rsidRDefault="00802E99" w:rsidP="004046F0">
            <w:pPr>
              <w:jc w:val="center"/>
              <w:rPr>
                <w:rFonts w:ascii="Arial" w:hAnsi="Arial" w:cs="Arial"/>
                <w:b/>
                <w:bCs/>
                <w:color w:val="1F497D"/>
                <w:szCs w:val="24"/>
                <w:lang w:eastAsia="en-AU"/>
              </w:rPr>
            </w:pPr>
          </w:p>
        </w:tc>
      </w:tr>
      <w:tr w:rsidR="00802E99" w:rsidRPr="0010159A" w14:paraId="5FFB6489" w14:textId="77777777" w:rsidTr="004046F0">
        <w:trPr>
          <w:trHeight w:val="345"/>
        </w:trPr>
        <w:tc>
          <w:tcPr>
            <w:tcW w:w="3686" w:type="dxa"/>
            <w:shd w:val="clear" w:color="auto" w:fill="DEEAF6" w:themeFill="accent1" w:themeFillTint="33"/>
            <w:noWrap/>
            <w:vAlign w:val="center"/>
            <w:hideMark/>
          </w:tcPr>
          <w:p w14:paraId="0C2F3132" w14:textId="77777777" w:rsidR="00802E99" w:rsidRPr="0010159A" w:rsidRDefault="00802E99" w:rsidP="004046F0">
            <w:pPr>
              <w:rPr>
                <w:rFonts w:ascii="Arial" w:hAnsi="Arial" w:cs="Arial"/>
                <w:b/>
                <w:bCs/>
                <w:color w:val="1F497D"/>
                <w:szCs w:val="24"/>
                <w:lang w:eastAsia="en-AU"/>
              </w:rPr>
            </w:pPr>
            <w:r w:rsidRPr="00C21991">
              <w:rPr>
                <w:rFonts w:ascii="Arial" w:hAnsi="Arial" w:cs="Arial"/>
                <w:b/>
                <w:bCs/>
                <w:color w:val="1F497D"/>
                <w:lang w:eastAsia="en-AU"/>
              </w:rPr>
              <w:t>Total Assets</w:t>
            </w:r>
          </w:p>
        </w:tc>
        <w:tc>
          <w:tcPr>
            <w:tcW w:w="2421" w:type="dxa"/>
            <w:shd w:val="clear" w:color="auto" w:fill="DEEAF6" w:themeFill="accent1" w:themeFillTint="33"/>
            <w:noWrap/>
            <w:vAlign w:val="center"/>
          </w:tcPr>
          <w:p w14:paraId="097F0D1B" w14:textId="77777777" w:rsidR="00802E99" w:rsidRPr="0010159A" w:rsidRDefault="00802E99" w:rsidP="004046F0">
            <w:pPr>
              <w:jc w:val="center"/>
              <w:rPr>
                <w:rFonts w:ascii="Arial" w:hAnsi="Arial" w:cs="Arial"/>
                <w:bCs/>
                <w:color w:val="000000" w:themeColor="text1"/>
                <w:szCs w:val="24"/>
                <w:lang w:eastAsia="en-AU"/>
              </w:rPr>
            </w:pPr>
            <w:r w:rsidRPr="00C21991">
              <w:rPr>
                <w:rFonts w:ascii="Arial" w:hAnsi="Arial" w:cs="Arial"/>
                <w:b/>
                <w:bCs/>
                <w:color w:val="1F497D"/>
                <w:lang w:eastAsia="en-AU"/>
              </w:rPr>
              <w:t>5,</w:t>
            </w:r>
            <w:r>
              <w:rPr>
                <w:rFonts w:ascii="Arial" w:hAnsi="Arial" w:cs="Arial"/>
                <w:b/>
                <w:bCs/>
                <w:color w:val="1F497D"/>
                <w:lang w:eastAsia="en-AU"/>
              </w:rPr>
              <w:t>663.1</w:t>
            </w:r>
          </w:p>
        </w:tc>
        <w:tc>
          <w:tcPr>
            <w:tcW w:w="1701" w:type="dxa"/>
            <w:vMerge/>
            <w:shd w:val="clear" w:color="auto" w:fill="auto"/>
            <w:noWrap/>
            <w:vAlign w:val="center"/>
          </w:tcPr>
          <w:p w14:paraId="6A26724A" w14:textId="77777777" w:rsidR="00802E99" w:rsidRPr="0010159A" w:rsidRDefault="00802E99" w:rsidP="004046F0">
            <w:pPr>
              <w:jc w:val="center"/>
              <w:rPr>
                <w:rFonts w:ascii="Arial" w:hAnsi="Arial" w:cs="Arial"/>
                <w:b/>
                <w:bCs/>
                <w:color w:val="1F497D"/>
                <w:szCs w:val="24"/>
                <w:lang w:eastAsia="en-AU"/>
              </w:rPr>
            </w:pPr>
          </w:p>
        </w:tc>
      </w:tr>
    </w:tbl>
    <w:p w14:paraId="6F4C3A67" w14:textId="77777777" w:rsidR="009E1A16" w:rsidRDefault="009E1A16">
      <w:pPr>
        <w:spacing w:after="160" w:line="259" w:lineRule="auto"/>
        <w:jc w:val="left"/>
        <w:rPr>
          <w:rFonts w:ascii="Arial" w:hAnsi="Arial" w:cs="Arial"/>
          <w:b/>
          <w:color w:val="2E74B5" w:themeColor="accent1" w:themeShade="BF"/>
          <w:sz w:val="32"/>
          <w:szCs w:val="26"/>
        </w:rPr>
      </w:pPr>
      <w:r>
        <w:br w:type="page"/>
      </w:r>
    </w:p>
    <w:p w14:paraId="1675DE05" w14:textId="4EB42069" w:rsidR="00802E99" w:rsidRPr="00195ECC" w:rsidRDefault="00802E99" w:rsidP="00802E99">
      <w:pPr>
        <w:pStyle w:val="ARHeading2"/>
        <w:rPr>
          <w:rFonts w:eastAsia="Times New Roman"/>
        </w:rPr>
      </w:pPr>
      <w:bookmarkStart w:id="64" w:name="_Toc524709392"/>
      <w:r w:rsidRPr="00195ECC">
        <w:rPr>
          <w:rFonts w:eastAsia="Times New Roman"/>
        </w:rPr>
        <w:lastRenderedPageBreak/>
        <w:t>3.5</w:t>
      </w:r>
      <w:r w:rsidRPr="00195ECC">
        <w:rPr>
          <w:rFonts w:eastAsia="Times New Roman"/>
        </w:rPr>
        <w:tab/>
        <w:t>Investigations and Intelligence</w:t>
      </w:r>
      <w:bookmarkEnd w:id="64"/>
    </w:p>
    <w:p w14:paraId="42D32535" w14:textId="77777777" w:rsidR="00802E99" w:rsidRPr="00841C0D" w:rsidRDefault="00802E99" w:rsidP="00802E99">
      <w:pPr>
        <w:rPr>
          <w:rFonts w:ascii="Arial" w:hAnsi="Arial" w:cs="Arial"/>
          <w:szCs w:val="24"/>
        </w:rPr>
      </w:pPr>
    </w:p>
    <w:p w14:paraId="39472F5B" w14:textId="77777777" w:rsidR="00802E99" w:rsidRDefault="00802E99" w:rsidP="00802E99">
      <w:pPr>
        <w:rPr>
          <w:rFonts w:ascii="Arial" w:hAnsi="Arial" w:cs="Arial"/>
          <w:szCs w:val="24"/>
        </w:rPr>
      </w:pPr>
      <w:r>
        <w:rPr>
          <w:rFonts w:ascii="Arial" w:hAnsi="Arial" w:cs="Arial"/>
          <w:szCs w:val="24"/>
        </w:rPr>
        <w:t>Claims Assessed – 773</w:t>
      </w:r>
    </w:p>
    <w:p w14:paraId="7AF08C5F" w14:textId="77777777" w:rsidR="00802E99" w:rsidRDefault="00802E99" w:rsidP="00802E99">
      <w:pPr>
        <w:rPr>
          <w:rFonts w:ascii="Arial" w:hAnsi="Arial" w:cs="Arial"/>
          <w:szCs w:val="24"/>
        </w:rPr>
      </w:pPr>
      <w:r>
        <w:rPr>
          <w:rFonts w:ascii="Arial" w:hAnsi="Arial" w:cs="Arial"/>
          <w:szCs w:val="24"/>
        </w:rPr>
        <w:t>Claims Investigated &amp; Resolved – 149</w:t>
      </w:r>
    </w:p>
    <w:p w14:paraId="7946224D" w14:textId="77777777" w:rsidR="00802E99" w:rsidRDefault="00802E99" w:rsidP="00802E99">
      <w:pPr>
        <w:rPr>
          <w:rFonts w:ascii="Arial" w:hAnsi="Arial" w:cs="Arial"/>
          <w:szCs w:val="24"/>
        </w:rPr>
      </w:pPr>
      <w:r>
        <w:rPr>
          <w:rFonts w:ascii="Arial" w:hAnsi="Arial" w:cs="Arial"/>
          <w:szCs w:val="24"/>
        </w:rPr>
        <w:t>Total Costs Avoided - $17.9m</w:t>
      </w:r>
    </w:p>
    <w:p w14:paraId="129EE5AD" w14:textId="77777777" w:rsidR="00802E99" w:rsidRDefault="00802E99" w:rsidP="00802E99">
      <w:pPr>
        <w:rPr>
          <w:rFonts w:ascii="Arial" w:hAnsi="Arial" w:cs="Arial"/>
          <w:szCs w:val="24"/>
        </w:rPr>
      </w:pPr>
    </w:p>
    <w:p w14:paraId="74DDE181" w14:textId="77777777" w:rsidR="00802E99" w:rsidRDefault="00802E99" w:rsidP="00802E99">
      <w:pPr>
        <w:rPr>
          <w:rFonts w:ascii="Arial" w:hAnsi="Arial" w:cs="Arial"/>
          <w:szCs w:val="24"/>
        </w:rPr>
      </w:pPr>
      <w:r>
        <w:rPr>
          <w:rFonts w:ascii="Arial" w:hAnsi="Arial" w:cs="Arial"/>
          <w:szCs w:val="24"/>
        </w:rPr>
        <w:t xml:space="preserve">The </w:t>
      </w:r>
      <w:r w:rsidRPr="00841C0D">
        <w:rPr>
          <w:rFonts w:ascii="Arial" w:hAnsi="Arial" w:cs="Arial"/>
          <w:szCs w:val="24"/>
        </w:rPr>
        <w:t xml:space="preserve">Investigations </w:t>
      </w:r>
      <w:r>
        <w:rPr>
          <w:rFonts w:ascii="Arial" w:hAnsi="Arial" w:cs="Arial"/>
          <w:szCs w:val="24"/>
        </w:rPr>
        <w:t>and</w:t>
      </w:r>
      <w:r w:rsidRPr="00841C0D">
        <w:rPr>
          <w:rFonts w:ascii="Arial" w:hAnsi="Arial" w:cs="Arial"/>
          <w:szCs w:val="24"/>
        </w:rPr>
        <w:t xml:space="preserve"> Intelligence </w:t>
      </w:r>
      <w:r>
        <w:rPr>
          <w:rFonts w:ascii="Arial" w:hAnsi="Arial" w:cs="Arial"/>
          <w:szCs w:val="24"/>
        </w:rPr>
        <w:t>s</w:t>
      </w:r>
      <w:r w:rsidRPr="00841C0D">
        <w:rPr>
          <w:rFonts w:ascii="Arial" w:hAnsi="Arial" w:cs="Arial"/>
          <w:szCs w:val="24"/>
        </w:rPr>
        <w:t xml:space="preserve">ection </w:t>
      </w:r>
      <w:r>
        <w:rPr>
          <w:rFonts w:ascii="Arial" w:hAnsi="Arial" w:cs="Arial"/>
          <w:szCs w:val="24"/>
        </w:rPr>
        <w:t xml:space="preserve">seeks to identify and stop </w:t>
      </w:r>
      <w:r w:rsidRPr="00841C0D">
        <w:rPr>
          <w:rFonts w:ascii="Arial" w:hAnsi="Arial" w:cs="Arial"/>
          <w:szCs w:val="24"/>
        </w:rPr>
        <w:t xml:space="preserve">false and misleading claims that </w:t>
      </w:r>
      <w:r>
        <w:rPr>
          <w:rFonts w:ascii="Arial" w:hAnsi="Arial" w:cs="Arial"/>
          <w:szCs w:val="24"/>
        </w:rPr>
        <w:t>undermine the integrity of insurance products delivered by the Insurance Commission for its customers.</w:t>
      </w:r>
    </w:p>
    <w:p w14:paraId="7F2112E3" w14:textId="77777777" w:rsidR="00802E99" w:rsidRDefault="00802E99" w:rsidP="00802E99">
      <w:pPr>
        <w:rPr>
          <w:rFonts w:ascii="Arial" w:hAnsi="Arial" w:cs="Arial"/>
          <w:szCs w:val="24"/>
        </w:rPr>
      </w:pPr>
    </w:p>
    <w:p w14:paraId="32DE8693" w14:textId="77777777" w:rsidR="00802E99" w:rsidRDefault="00802E99" w:rsidP="00802E99">
      <w:pPr>
        <w:rPr>
          <w:rFonts w:ascii="Arial" w:hAnsi="Arial" w:cs="Arial"/>
          <w:szCs w:val="24"/>
        </w:rPr>
      </w:pPr>
      <w:r>
        <w:rPr>
          <w:rFonts w:ascii="Arial" w:hAnsi="Arial" w:cs="Arial"/>
          <w:szCs w:val="24"/>
        </w:rPr>
        <w:t xml:space="preserve">During the year, </w:t>
      </w:r>
      <w:r w:rsidRPr="00841C0D">
        <w:rPr>
          <w:rFonts w:ascii="Arial" w:hAnsi="Arial" w:cs="Arial"/>
          <w:szCs w:val="24"/>
        </w:rPr>
        <w:t xml:space="preserve">773 </w:t>
      </w:r>
      <w:r>
        <w:rPr>
          <w:rFonts w:ascii="Arial" w:hAnsi="Arial" w:cs="Arial"/>
          <w:szCs w:val="24"/>
        </w:rPr>
        <w:t>motor injury insurance and workers’</w:t>
      </w:r>
      <w:r w:rsidRPr="00841C0D">
        <w:rPr>
          <w:rFonts w:ascii="Arial" w:hAnsi="Arial" w:cs="Arial"/>
          <w:szCs w:val="24"/>
        </w:rPr>
        <w:t xml:space="preserve"> compensation claims </w:t>
      </w:r>
      <w:r>
        <w:rPr>
          <w:rFonts w:ascii="Arial" w:hAnsi="Arial" w:cs="Arial"/>
          <w:szCs w:val="24"/>
        </w:rPr>
        <w:t>were assessed as potentially being fraudulent. These claims were identified by integrated data analytics, fraud modelling and notifications received from our insurance divisions.</w:t>
      </w:r>
    </w:p>
    <w:p w14:paraId="1DDD95D6" w14:textId="77777777" w:rsidR="00802E99" w:rsidRDefault="00802E99" w:rsidP="00802E99">
      <w:pPr>
        <w:rPr>
          <w:rFonts w:ascii="Arial" w:hAnsi="Arial" w:cs="Arial"/>
          <w:szCs w:val="24"/>
        </w:rPr>
      </w:pPr>
    </w:p>
    <w:p w14:paraId="58CA03D0" w14:textId="77777777" w:rsidR="00802E99" w:rsidRDefault="00802E99" w:rsidP="00802E99">
      <w:pPr>
        <w:rPr>
          <w:rFonts w:ascii="Arial" w:hAnsi="Arial" w:cs="Arial"/>
          <w:szCs w:val="24"/>
        </w:rPr>
      </w:pPr>
      <w:r>
        <w:rPr>
          <w:rFonts w:ascii="Arial" w:hAnsi="Arial" w:cs="Arial"/>
          <w:szCs w:val="24"/>
        </w:rPr>
        <w:t>There were 149 cases that were investigated and resolved in 2018, resulting in avoided claims costs of approximately $17.9 million.</w:t>
      </w:r>
    </w:p>
    <w:p w14:paraId="590130EE" w14:textId="77777777" w:rsidR="00802E99" w:rsidRDefault="00802E99" w:rsidP="00802E99">
      <w:pPr>
        <w:rPr>
          <w:rFonts w:ascii="Arial" w:hAnsi="Arial" w:cs="Arial"/>
          <w:szCs w:val="24"/>
        </w:rPr>
      </w:pPr>
    </w:p>
    <w:p w14:paraId="1DBF09A8" w14:textId="77777777" w:rsidR="00802E99" w:rsidRPr="00841C0D" w:rsidRDefault="00802E99" w:rsidP="00802E99">
      <w:pPr>
        <w:rPr>
          <w:rFonts w:ascii="Arial" w:hAnsi="Arial" w:cs="Arial"/>
          <w:szCs w:val="24"/>
        </w:rPr>
      </w:pPr>
      <w:r>
        <w:rPr>
          <w:rFonts w:ascii="Arial" w:hAnsi="Arial" w:cs="Arial"/>
          <w:szCs w:val="24"/>
        </w:rPr>
        <w:t xml:space="preserve">Ten </w:t>
      </w:r>
      <w:r w:rsidRPr="00841C0D">
        <w:rPr>
          <w:rFonts w:ascii="Arial" w:hAnsi="Arial" w:cs="Arial"/>
          <w:szCs w:val="24"/>
        </w:rPr>
        <w:t xml:space="preserve">prosecutions </w:t>
      </w:r>
      <w:r>
        <w:rPr>
          <w:rFonts w:ascii="Arial" w:hAnsi="Arial" w:cs="Arial"/>
          <w:szCs w:val="24"/>
        </w:rPr>
        <w:t xml:space="preserve">were pursued </w:t>
      </w:r>
      <w:r w:rsidRPr="00841C0D">
        <w:rPr>
          <w:rFonts w:ascii="Arial" w:hAnsi="Arial" w:cs="Arial"/>
          <w:szCs w:val="24"/>
        </w:rPr>
        <w:t>against claimants who made false statements or exaggerated</w:t>
      </w:r>
      <w:r>
        <w:rPr>
          <w:rFonts w:ascii="Arial" w:hAnsi="Arial" w:cs="Arial"/>
          <w:szCs w:val="24"/>
        </w:rPr>
        <w:t xml:space="preserve"> the</w:t>
      </w:r>
      <w:r w:rsidRPr="00841C0D">
        <w:rPr>
          <w:rFonts w:ascii="Arial" w:hAnsi="Arial" w:cs="Arial"/>
          <w:szCs w:val="24"/>
        </w:rPr>
        <w:t xml:space="preserve"> extent of their injuries for personal injury compensation. </w:t>
      </w:r>
    </w:p>
    <w:p w14:paraId="44E23AC9" w14:textId="77777777" w:rsidR="00802E99" w:rsidRPr="00841C0D" w:rsidRDefault="00802E99" w:rsidP="00802E99">
      <w:pPr>
        <w:rPr>
          <w:rFonts w:ascii="Arial" w:hAnsi="Arial" w:cs="Arial"/>
          <w:szCs w:val="24"/>
        </w:rPr>
      </w:pPr>
    </w:p>
    <w:p w14:paraId="35F6192C" w14:textId="77777777" w:rsidR="00802E99" w:rsidRDefault="00802E99" w:rsidP="00802E99">
      <w:pPr>
        <w:rPr>
          <w:rFonts w:ascii="Arial" w:hAnsi="Arial" w:cs="Arial"/>
          <w:szCs w:val="24"/>
        </w:rPr>
      </w:pPr>
      <w:r>
        <w:rPr>
          <w:rFonts w:ascii="Arial" w:hAnsi="Arial" w:cs="Arial"/>
          <w:szCs w:val="24"/>
        </w:rPr>
        <w:t>In 2018, f</w:t>
      </w:r>
      <w:r w:rsidRPr="00841C0D">
        <w:rPr>
          <w:rFonts w:ascii="Arial" w:hAnsi="Arial" w:cs="Arial"/>
          <w:szCs w:val="24"/>
        </w:rPr>
        <w:t>ive referrals were made to the Legal Practitioners Complaints Committee (LPCC) seeking investigations into unethical conduct</w:t>
      </w:r>
      <w:r>
        <w:rPr>
          <w:rFonts w:ascii="Arial" w:hAnsi="Arial" w:cs="Arial"/>
          <w:szCs w:val="24"/>
        </w:rPr>
        <w:t xml:space="preserve"> by plaintiff law firms who were involved in claims made to the Insurance Commission.</w:t>
      </w:r>
      <w:r w:rsidRPr="00841C0D">
        <w:rPr>
          <w:rFonts w:ascii="Arial" w:hAnsi="Arial" w:cs="Arial"/>
          <w:szCs w:val="24"/>
        </w:rPr>
        <w:t xml:space="preserve"> The LPCC </w:t>
      </w:r>
      <w:r>
        <w:rPr>
          <w:rFonts w:ascii="Arial" w:hAnsi="Arial" w:cs="Arial"/>
          <w:szCs w:val="24"/>
        </w:rPr>
        <w:t xml:space="preserve">is working with </w:t>
      </w:r>
      <w:r w:rsidRPr="00841C0D">
        <w:rPr>
          <w:rFonts w:ascii="Arial" w:hAnsi="Arial" w:cs="Arial"/>
          <w:szCs w:val="24"/>
        </w:rPr>
        <w:t>the Office of the Legal Services Commissioner</w:t>
      </w:r>
      <w:r>
        <w:rPr>
          <w:rFonts w:ascii="Arial" w:hAnsi="Arial" w:cs="Arial"/>
          <w:szCs w:val="24"/>
        </w:rPr>
        <w:t xml:space="preserve"> in</w:t>
      </w:r>
      <w:r w:rsidRPr="00841C0D">
        <w:rPr>
          <w:rFonts w:ascii="Arial" w:hAnsi="Arial" w:cs="Arial"/>
          <w:szCs w:val="24"/>
        </w:rPr>
        <w:t xml:space="preserve"> New South Wales a</w:t>
      </w:r>
      <w:r>
        <w:rPr>
          <w:rFonts w:ascii="Arial" w:hAnsi="Arial" w:cs="Arial"/>
          <w:szCs w:val="24"/>
        </w:rPr>
        <w:t xml:space="preserve">s a number of these law firms are based in New South Wales. </w:t>
      </w:r>
    </w:p>
    <w:p w14:paraId="3D3072E5" w14:textId="77777777" w:rsidR="00802E99" w:rsidRDefault="00802E99" w:rsidP="00802E99">
      <w:pPr>
        <w:rPr>
          <w:rFonts w:ascii="Arial" w:hAnsi="Arial" w:cs="Arial"/>
          <w:szCs w:val="24"/>
        </w:rPr>
      </w:pPr>
    </w:p>
    <w:p w14:paraId="06B480BB" w14:textId="77777777" w:rsidR="00802E99" w:rsidRDefault="00802E99" w:rsidP="00802E99">
      <w:pPr>
        <w:rPr>
          <w:rFonts w:ascii="Arial" w:hAnsi="Arial" w:cs="Arial"/>
          <w:szCs w:val="24"/>
        </w:rPr>
      </w:pPr>
      <w:r>
        <w:rPr>
          <w:rFonts w:ascii="Arial" w:hAnsi="Arial" w:cs="Arial"/>
          <w:szCs w:val="24"/>
        </w:rPr>
        <w:t xml:space="preserve">The Insurance Commission continues to enhance its ability to use data analytics to identify potentially fraudulent claims and prevent them from undermining the integrity of insurance schemes managed by the Insurance Commission.  </w:t>
      </w:r>
    </w:p>
    <w:p w14:paraId="28709D4B" w14:textId="77777777" w:rsidR="00802E99" w:rsidRDefault="00802E99" w:rsidP="00802E99">
      <w:pPr>
        <w:rPr>
          <w:rFonts w:ascii="Arial" w:hAnsi="Arial" w:cs="Arial"/>
          <w:szCs w:val="24"/>
        </w:rPr>
      </w:pPr>
    </w:p>
    <w:p w14:paraId="1968C82D" w14:textId="5AE56F52" w:rsidR="009E1A16" w:rsidRDefault="009E1A16" w:rsidP="009E1A16">
      <w:pPr>
        <w:pStyle w:val="ARHeading3"/>
        <w:pBdr>
          <w:top w:val="single" w:sz="4" w:space="1" w:color="auto"/>
          <w:left w:val="single" w:sz="4" w:space="4" w:color="auto"/>
          <w:bottom w:val="single" w:sz="4" w:space="1" w:color="auto"/>
          <w:right w:val="single" w:sz="4" w:space="4" w:color="auto"/>
        </w:pBdr>
      </w:pPr>
      <w:r w:rsidRPr="00EA713B">
        <w:t xml:space="preserve">Claims </w:t>
      </w:r>
      <w:r>
        <w:t>Harvesting Increases</w:t>
      </w:r>
      <w:r w:rsidRPr="00EA713B">
        <w:t xml:space="preserve"> </w:t>
      </w:r>
    </w:p>
    <w:p w14:paraId="63D41F24"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Western Australia has experienced an increase in past years of a concerning activity known as claims harvesting of motor injury insurance claims. </w:t>
      </w:r>
    </w:p>
    <w:p w14:paraId="5BBB9C24"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4761F8C7"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Claims harvesting is the practice of unethically pursuing accident victims to encourage them to lodge a motor injury insurance claim. Victims can be encouraged to exaggerate or even lodge false claims. Some people have been called up to 50 times. Others have had their signatures forged.  </w:t>
      </w:r>
    </w:p>
    <w:p w14:paraId="1491D31F"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395D0429"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The number of suspected harvested claims received by the Insurance Commission has increased from an estimated 60 claims lodged in 2016 to 306 claims lodged in 2018. This year, suspected harvested claims represented almost 10% of new CTP compensation claims received by the Insurance Commission. </w:t>
      </w:r>
    </w:p>
    <w:p w14:paraId="40755FB4"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71E548D1"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In the last 12 months, the practice has gained national attention as some state and territory governments have highlighted the problem in the media and taken steps to prevent it impacting the affordability of insurance premiums for motorists as yet. </w:t>
      </w:r>
    </w:p>
    <w:p w14:paraId="04275E42"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7557C5D7"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lastRenderedPageBreak/>
        <w:t>The Insurance Commission uses data analytics to identify if a new claim is harvested. Those claims are managed rigorously as many of them may not be legitimate claims.</w:t>
      </w:r>
    </w:p>
    <w:p w14:paraId="434DCE54"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1AF144DC"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This approach is working as 71% of harvested claims received in 2018 were rejected. The financial reward for third parties and law firms involved in this practice is not significant, and there has not been any impact on motor injury insurance premiums for motorists. </w:t>
      </w:r>
    </w:p>
    <w:p w14:paraId="34EB6551"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7D023674" w14:textId="2EEC889D"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szCs w:val="24"/>
        </w:rPr>
      </w:pPr>
      <w:r>
        <w:rPr>
          <w:rFonts w:ascii="Arial" w:hAnsi="Arial" w:cs="Arial"/>
        </w:rPr>
        <w:t>Consumer Protection and the Insurance Commission provided community alerts on this practice during the year to encourage motorists not to give out their personal details to claims harvesters.</w:t>
      </w:r>
    </w:p>
    <w:p w14:paraId="58EFF999" w14:textId="77777777" w:rsidR="009E1A16" w:rsidRDefault="009E1A16" w:rsidP="00802E99">
      <w:pPr>
        <w:rPr>
          <w:rFonts w:ascii="Arial" w:hAnsi="Arial" w:cs="Arial"/>
          <w:szCs w:val="24"/>
        </w:rPr>
      </w:pPr>
    </w:p>
    <w:p w14:paraId="09474D5C" w14:textId="77777777" w:rsidR="009E1A16" w:rsidRDefault="009E1A16" w:rsidP="00802E99">
      <w:pPr>
        <w:rPr>
          <w:rFonts w:ascii="Arial" w:hAnsi="Arial" w:cs="Arial"/>
          <w:szCs w:val="24"/>
        </w:rPr>
      </w:pPr>
    </w:p>
    <w:p w14:paraId="5A696E96" w14:textId="77777777" w:rsidR="009E1A16" w:rsidRDefault="009E1A16" w:rsidP="00802E99">
      <w:pPr>
        <w:rPr>
          <w:rFonts w:ascii="Arial" w:hAnsi="Arial" w:cs="Arial"/>
          <w:szCs w:val="24"/>
        </w:rPr>
      </w:pPr>
    </w:p>
    <w:p w14:paraId="19C4635C" w14:textId="77777777" w:rsidR="009E1A16" w:rsidRDefault="009E1A16" w:rsidP="00802E99">
      <w:pPr>
        <w:rPr>
          <w:rFonts w:ascii="Arial" w:hAnsi="Arial" w:cs="Arial"/>
          <w:szCs w:val="24"/>
        </w:rPr>
      </w:pPr>
    </w:p>
    <w:p w14:paraId="1E24855C" w14:textId="77777777" w:rsidR="009E1A16" w:rsidRDefault="009E1A16" w:rsidP="00802E99">
      <w:pPr>
        <w:rPr>
          <w:rFonts w:ascii="Arial" w:hAnsi="Arial" w:cs="Arial"/>
          <w:szCs w:val="24"/>
        </w:rPr>
      </w:pPr>
    </w:p>
    <w:p w14:paraId="7A1CD217" w14:textId="77777777" w:rsidR="009E1A16" w:rsidRDefault="009E1A16" w:rsidP="00802E99">
      <w:pPr>
        <w:rPr>
          <w:rFonts w:ascii="Arial" w:hAnsi="Arial" w:cs="Arial"/>
          <w:szCs w:val="24"/>
        </w:rPr>
      </w:pPr>
    </w:p>
    <w:p w14:paraId="3EB4BAFC" w14:textId="77777777" w:rsidR="009E1A16" w:rsidRDefault="009E1A16" w:rsidP="00802E99">
      <w:pPr>
        <w:rPr>
          <w:rFonts w:ascii="Arial" w:hAnsi="Arial" w:cs="Arial"/>
          <w:szCs w:val="24"/>
        </w:rPr>
      </w:pPr>
    </w:p>
    <w:p w14:paraId="36762E7D" w14:textId="77777777" w:rsidR="009E1A16" w:rsidRDefault="009E1A16" w:rsidP="00802E99">
      <w:pPr>
        <w:rPr>
          <w:rFonts w:ascii="Arial" w:hAnsi="Arial" w:cs="Arial"/>
          <w:szCs w:val="24"/>
        </w:rPr>
      </w:pPr>
    </w:p>
    <w:p w14:paraId="6EE23C30" w14:textId="77777777" w:rsidR="009E1A16" w:rsidRDefault="009E1A16" w:rsidP="00802E99">
      <w:pPr>
        <w:rPr>
          <w:rFonts w:ascii="Arial" w:hAnsi="Arial" w:cs="Arial"/>
          <w:szCs w:val="24"/>
        </w:rPr>
      </w:pPr>
    </w:p>
    <w:p w14:paraId="782BE1EA" w14:textId="77777777" w:rsidR="009E1A16" w:rsidRDefault="009E1A16" w:rsidP="00802E99">
      <w:pPr>
        <w:rPr>
          <w:rFonts w:ascii="Arial" w:hAnsi="Arial" w:cs="Arial"/>
          <w:szCs w:val="24"/>
        </w:rPr>
      </w:pPr>
    </w:p>
    <w:p w14:paraId="4686BE2D" w14:textId="77777777" w:rsidR="009E1A16" w:rsidRDefault="009E1A16" w:rsidP="00802E99">
      <w:pPr>
        <w:rPr>
          <w:rFonts w:ascii="Arial" w:hAnsi="Arial" w:cs="Arial"/>
          <w:szCs w:val="24"/>
        </w:rPr>
      </w:pPr>
    </w:p>
    <w:p w14:paraId="3A3A9B0A" w14:textId="77777777" w:rsidR="009E1A16" w:rsidRDefault="009E1A16" w:rsidP="00802E99">
      <w:pPr>
        <w:rPr>
          <w:rFonts w:ascii="Arial" w:hAnsi="Arial" w:cs="Arial"/>
          <w:szCs w:val="24"/>
        </w:rPr>
      </w:pPr>
    </w:p>
    <w:p w14:paraId="755AAE8A" w14:textId="77777777" w:rsidR="009E1A16" w:rsidRDefault="009E1A16" w:rsidP="00802E99">
      <w:pPr>
        <w:rPr>
          <w:rFonts w:ascii="Arial" w:hAnsi="Arial" w:cs="Arial"/>
          <w:szCs w:val="24"/>
        </w:rPr>
      </w:pPr>
    </w:p>
    <w:p w14:paraId="32E6D128" w14:textId="77777777" w:rsidR="009E1A16" w:rsidRDefault="009E1A16" w:rsidP="00802E99">
      <w:pPr>
        <w:rPr>
          <w:rFonts w:ascii="Arial" w:hAnsi="Arial" w:cs="Arial"/>
          <w:szCs w:val="24"/>
        </w:rPr>
      </w:pPr>
    </w:p>
    <w:p w14:paraId="5BF2AA18" w14:textId="77777777" w:rsidR="009E1A16" w:rsidRDefault="009E1A16" w:rsidP="00802E99">
      <w:pPr>
        <w:rPr>
          <w:rFonts w:ascii="Arial" w:hAnsi="Arial" w:cs="Arial"/>
          <w:szCs w:val="24"/>
        </w:rPr>
      </w:pPr>
    </w:p>
    <w:p w14:paraId="07744E43" w14:textId="77777777" w:rsidR="009E1A16" w:rsidRDefault="009E1A16" w:rsidP="00802E99">
      <w:pPr>
        <w:rPr>
          <w:rFonts w:ascii="Arial" w:hAnsi="Arial" w:cs="Arial"/>
          <w:szCs w:val="24"/>
        </w:rPr>
      </w:pPr>
    </w:p>
    <w:p w14:paraId="13EB1744" w14:textId="77777777" w:rsidR="009E1A16" w:rsidRDefault="009E1A16" w:rsidP="00802E99">
      <w:pPr>
        <w:rPr>
          <w:rFonts w:ascii="Arial" w:hAnsi="Arial" w:cs="Arial"/>
          <w:szCs w:val="24"/>
        </w:rPr>
      </w:pPr>
    </w:p>
    <w:p w14:paraId="3CE844A6" w14:textId="77777777" w:rsidR="009E1A16" w:rsidRDefault="009E1A16" w:rsidP="00802E99">
      <w:pPr>
        <w:rPr>
          <w:rFonts w:ascii="Arial" w:hAnsi="Arial" w:cs="Arial"/>
          <w:szCs w:val="24"/>
        </w:rPr>
      </w:pPr>
    </w:p>
    <w:p w14:paraId="359E6FF1" w14:textId="77777777" w:rsidR="009E1A16" w:rsidRDefault="009E1A16" w:rsidP="00802E99">
      <w:pPr>
        <w:rPr>
          <w:rFonts w:ascii="Arial" w:hAnsi="Arial" w:cs="Arial"/>
          <w:szCs w:val="24"/>
        </w:rPr>
      </w:pPr>
    </w:p>
    <w:p w14:paraId="1A395003" w14:textId="77777777" w:rsidR="009E1A16" w:rsidRDefault="009E1A16" w:rsidP="00802E99">
      <w:pPr>
        <w:rPr>
          <w:rFonts w:ascii="Arial" w:hAnsi="Arial" w:cs="Arial"/>
          <w:szCs w:val="24"/>
        </w:rPr>
      </w:pPr>
    </w:p>
    <w:p w14:paraId="23BF464D" w14:textId="77777777" w:rsidR="009E1A16" w:rsidRDefault="009E1A16" w:rsidP="00802E99">
      <w:pPr>
        <w:rPr>
          <w:rFonts w:ascii="Arial" w:hAnsi="Arial" w:cs="Arial"/>
          <w:szCs w:val="24"/>
        </w:rPr>
      </w:pPr>
    </w:p>
    <w:p w14:paraId="7BF8CF30" w14:textId="77777777" w:rsidR="009E1A16" w:rsidRDefault="009E1A16" w:rsidP="00802E99">
      <w:pPr>
        <w:rPr>
          <w:rFonts w:ascii="Arial" w:hAnsi="Arial" w:cs="Arial"/>
          <w:szCs w:val="24"/>
        </w:rPr>
      </w:pPr>
    </w:p>
    <w:p w14:paraId="13314EC4" w14:textId="77777777" w:rsidR="009E1A16" w:rsidRDefault="009E1A16" w:rsidP="00802E99">
      <w:pPr>
        <w:rPr>
          <w:rFonts w:ascii="Arial" w:hAnsi="Arial" w:cs="Arial"/>
          <w:szCs w:val="24"/>
        </w:rPr>
      </w:pPr>
    </w:p>
    <w:p w14:paraId="65A75F16" w14:textId="77777777" w:rsidR="009E1A16" w:rsidRDefault="009E1A16" w:rsidP="00802E99">
      <w:pPr>
        <w:rPr>
          <w:rFonts w:ascii="Arial" w:hAnsi="Arial" w:cs="Arial"/>
          <w:szCs w:val="24"/>
        </w:rPr>
      </w:pPr>
    </w:p>
    <w:p w14:paraId="60F7BD6F" w14:textId="77777777" w:rsidR="009E1A16" w:rsidRDefault="009E1A16" w:rsidP="00802E99">
      <w:pPr>
        <w:rPr>
          <w:rFonts w:ascii="Arial" w:hAnsi="Arial" w:cs="Arial"/>
          <w:szCs w:val="24"/>
        </w:rPr>
      </w:pPr>
    </w:p>
    <w:p w14:paraId="1B2B417D" w14:textId="77777777" w:rsidR="009E1A16" w:rsidRDefault="009E1A16" w:rsidP="00802E99">
      <w:pPr>
        <w:rPr>
          <w:rFonts w:ascii="Arial" w:hAnsi="Arial" w:cs="Arial"/>
          <w:szCs w:val="24"/>
        </w:rPr>
      </w:pPr>
    </w:p>
    <w:p w14:paraId="657C1D0B" w14:textId="77777777" w:rsidR="009E1A16" w:rsidRDefault="009E1A16" w:rsidP="00802E99">
      <w:pPr>
        <w:rPr>
          <w:rFonts w:ascii="Arial" w:hAnsi="Arial" w:cs="Arial"/>
          <w:szCs w:val="24"/>
        </w:rPr>
      </w:pPr>
    </w:p>
    <w:p w14:paraId="65731785" w14:textId="77777777" w:rsidR="009E1A16" w:rsidRDefault="009E1A16" w:rsidP="00802E99">
      <w:pPr>
        <w:rPr>
          <w:rFonts w:ascii="Arial" w:hAnsi="Arial" w:cs="Arial"/>
          <w:szCs w:val="24"/>
        </w:rPr>
      </w:pPr>
    </w:p>
    <w:p w14:paraId="0B5A3212" w14:textId="77777777" w:rsidR="009E1A16" w:rsidRDefault="009E1A16" w:rsidP="00802E99">
      <w:pPr>
        <w:rPr>
          <w:rFonts w:ascii="Arial" w:hAnsi="Arial" w:cs="Arial"/>
          <w:szCs w:val="24"/>
        </w:rPr>
      </w:pPr>
    </w:p>
    <w:p w14:paraId="1E3F8D78" w14:textId="77777777" w:rsidR="009E1A16" w:rsidRDefault="009E1A16" w:rsidP="00802E99">
      <w:pPr>
        <w:rPr>
          <w:rFonts w:ascii="Arial" w:hAnsi="Arial" w:cs="Arial"/>
          <w:szCs w:val="24"/>
        </w:rPr>
      </w:pPr>
    </w:p>
    <w:p w14:paraId="0722FF87" w14:textId="77777777" w:rsidR="009E1A16" w:rsidRDefault="009E1A16" w:rsidP="00802E99">
      <w:pPr>
        <w:rPr>
          <w:rFonts w:ascii="Arial" w:hAnsi="Arial" w:cs="Arial"/>
          <w:szCs w:val="24"/>
        </w:rPr>
      </w:pPr>
    </w:p>
    <w:p w14:paraId="64B183BB" w14:textId="77777777" w:rsidR="009E1A16" w:rsidRDefault="009E1A16" w:rsidP="00802E99">
      <w:pPr>
        <w:rPr>
          <w:rFonts w:ascii="Arial" w:hAnsi="Arial" w:cs="Arial"/>
          <w:szCs w:val="24"/>
        </w:rPr>
      </w:pPr>
    </w:p>
    <w:p w14:paraId="091784CA" w14:textId="77777777" w:rsidR="009E1A16" w:rsidRDefault="009E1A16" w:rsidP="00802E99">
      <w:pPr>
        <w:rPr>
          <w:rFonts w:ascii="Arial" w:hAnsi="Arial" w:cs="Arial"/>
          <w:szCs w:val="24"/>
        </w:rPr>
      </w:pPr>
    </w:p>
    <w:p w14:paraId="551A55E3" w14:textId="77777777" w:rsidR="009E1A16" w:rsidRDefault="009E1A16" w:rsidP="00802E99">
      <w:pPr>
        <w:rPr>
          <w:rFonts w:ascii="Arial" w:hAnsi="Arial" w:cs="Arial"/>
          <w:szCs w:val="24"/>
        </w:rPr>
      </w:pPr>
    </w:p>
    <w:p w14:paraId="054AC38F" w14:textId="6E46F906" w:rsidR="00802E99" w:rsidRPr="00802E99" w:rsidRDefault="00802E99" w:rsidP="00802E99">
      <w:pPr>
        <w:pStyle w:val="ARHeading1"/>
      </w:pPr>
      <w:bookmarkStart w:id="65" w:name="_Toc524709393"/>
      <w:r>
        <w:lastRenderedPageBreak/>
        <w:t>4.</w:t>
      </w:r>
      <w:r>
        <w:tab/>
      </w:r>
      <w:r w:rsidR="0061265A">
        <w:t>Significant Issues</w:t>
      </w:r>
      <w:bookmarkEnd w:id="65"/>
      <w:r w:rsidRPr="009A5619">
        <w:t xml:space="preserve"> </w:t>
      </w:r>
      <w:r>
        <w:br/>
      </w:r>
    </w:p>
    <w:p w14:paraId="203CE8C4" w14:textId="77777777" w:rsidR="00802E99" w:rsidRPr="0066762F" w:rsidRDefault="00802E99" w:rsidP="00802E99">
      <w:pPr>
        <w:pStyle w:val="ARHeading2"/>
      </w:pPr>
      <w:bookmarkStart w:id="66" w:name="_Toc524709394"/>
      <w:r>
        <w:t>4.1</w:t>
      </w:r>
      <w:r>
        <w:tab/>
      </w:r>
      <w:r w:rsidRPr="0066762F">
        <w:t>Bell Group Litigation</w:t>
      </w:r>
      <w:bookmarkEnd w:id="66"/>
      <w:r w:rsidRPr="0066762F">
        <w:t xml:space="preserve"> </w:t>
      </w:r>
    </w:p>
    <w:p w14:paraId="5BBA7A4C" w14:textId="77777777" w:rsidR="00802E99" w:rsidRDefault="00802E99" w:rsidP="00802E99">
      <w:pPr>
        <w:rPr>
          <w:rFonts w:ascii="Arial" w:hAnsi="Arial" w:cs="Arial"/>
          <w:bCs/>
          <w:szCs w:val="24"/>
        </w:rPr>
      </w:pPr>
    </w:p>
    <w:p w14:paraId="1BF2A04F" w14:textId="77777777" w:rsidR="00802E99" w:rsidRPr="00A57755" w:rsidRDefault="00802E99" w:rsidP="00802E99">
      <w:pPr>
        <w:rPr>
          <w:rFonts w:ascii="Arial" w:hAnsi="Arial" w:cs="Arial"/>
          <w:bCs/>
          <w:szCs w:val="24"/>
        </w:rPr>
      </w:pPr>
      <w:r w:rsidRPr="00A57755">
        <w:rPr>
          <w:rFonts w:ascii="Arial" w:hAnsi="Arial" w:cs="Arial"/>
          <w:bCs/>
          <w:szCs w:val="24"/>
        </w:rPr>
        <w:t>The Bell litigation continues, and continues to expand, causing the Insurance Commission to incur increased litigation costs.</w:t>
      </w:r>
    </w:p>
    <w:p w14:paraId="45FCC35A" w14:textId="77777777" w:rsidR="00802E99" w:rsidRPr="00A57755" w:rsidRDefault="00802E99" w:rsidP="00802E99">
      <w:pPr>
        <w:rPr>
          <w:rFonts w:ascii="Arial" w:hAnsi="Arial" w:cs="Arial"/>
          <w:bCs/>
          <w:szCs w:val="24"/>
        </w:rPr>
      </w:pPr>
    </w:p>
    <w:p w14:paraId="0CDF2692" w14:textId="77777777" w:rsidR="00802E99" w:rsidRDefault="00802E99" w:rsidP="00802E99">
      <w:pPr>
        <w:rPr>
          <w:rFonts w:ascii="Arial" w:hAnsi="Arial" w:cs="Arial"/>
          <w:bCs/>
          <w:szCs w:val="24"/>
        </w:rPr>
      </w:pPr>
      <w:r w:rsidRPr="00A57755">
        <w:rPr>
          <w:rFonts w:ascii="Arial" w:hAnsi="Arial" w:cs="Arial"/>
          <w:bCs/>
          <w:szCs w:val="24"/>
        </w:rPr>
        <w:t>Significant resources and expenditure were also devoted towards attempting to achieve a settlement of Bell matters up to the balance date for the 2018 financial year.</w:t>
      </w:r>
    </w:p>
    <w:p w14:paraId="334E046B" w14:textId="77777777" w:rsidR="00802E99" w:rsidRDefault="00802E99" w:rsidP="00802E99">
      <w:pPr>
        <w:rPr>
          <w:rFonts w:ascii="Arial" w:hAnsi="Arial" w:cs="Arial"/>
          <w:bCs/>
          <w:szCs w:val="24"/>
        </w:rPr>
      </w:pPr>
    </w:p>
    <w:p w14:paraId="6CBED337" w14:textId="10EAEF00" w:rsidR="009E1A16" w:rsidRDefault="009E1A16" w:rsidP="009E1A16">
      <w:pPr>
        <w:pStyle w:val="ARHeading3"/>
        <w:pBdr>
          <w:top w:val="single" w:sz="4" w:space="1" w:color="auto"/>
          <w:left w:val="single" w:sz="4" w:space="4" w:color="auto"/>
          <w:bottom w:val="single" w:sz="4" w:space="1" w:color="auto"/>
          <w:right w:val="single" w:sz="4" w:space="4" w:color="auto"/>
        </w:pBdr>
      </w:pPr>
      <w:r>
        <w:t>Centralisation of Policy Resources</w:t>
      </w:r>
    </w:p>
    <w:p w14:paraId="6FB9D765"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sidRPr="00E314F0">
        <w:rPr>
          <w:rFonts w:ascii="Arial" w:hAnsi="Arial" w:cs="Arial"/>
        </w:rPr>
        <w:t>One of the key functions of the Insurance Comm</w:t>
      </w:r>
      <w:r>
        <w:rPr>
          <w:rFonts w:ascii="Arial" w:hAnsi="Arial" w:cs="Arial"/>
        </w:rPr>
        <w:t>ission is to provide advice to g</w:t>
      </w:r>
      <w:r w:rsidRPr="00E314F0">
        <w:rPr>
          <w:rFonts w:ascii="Arial" w:hAnsi="Arial" w:cs="Arial"/>
        </w:rPr>
        <w:t xml:space="preserve">overnment on insurance matters. In 2018, the Insurance Commission established a policy unit to improve its capability to deliver this function. Existing policy resources across the organisation were brought together to form the policy unit. </w:t>
      </w:r>
    </w:p>
    <w:p w14:paraId="4789259E"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7374F5D6"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sidRPr="00E314F0">
        <w:rPr>
          <w:rFonts w:ascii="Arial" w:hAnsi="Arial" w:cs="Arial"/>
        </w:rPr>
        <w:t>The policy unit provides advice and analysis on policy issues it is called upon to deal with. Three examples of such issues are listed below.</w:t>
      </w:r>
    </w:p>
    <w:p w14:paraId="690811F8"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75A6416A"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b/>
        </w:rPr>
      </w:pPr>
      <w:r w:rsidRPr="00E314F0">
        <w:rPr>
          <w:rFonts w:ascii="Arial" w:hAnsi="Arial" w:cs="Arial"/>
          <w:b/>
        </w:rPr>
        <w:t>Auto</w:t>
      </w:r>
      <w:r>
        <w:rPr>
          <w:rFonts w:ascii="Arial" w:hAnsi="Arial" w:cs="Arial"/>
          <w:b/>
        </w:rPr>
        <w:t>mated</w:t>
      </w:r>
      <w:r w:rsidRPr="00E314F0">
        <w:rPr>
          <w:rFonts w:ascii="Arial" w:hAnsi="Arial" w:cs="Arial"/>
          <w:b/>
        </w:rPr>
        <w:t xml:space="preserve"> Vehicles</w:t>
      </w:r>
    </w:p>
    <w:p w14:paraId="0628760C"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Automated</w:t>
      </w:r>
      <w:r w:rsidRPr="00E314F0">
        <w:rPr>
          <w:rFonts w:ascii="Arial" w:hAnsi="Arial" w:cs="Arial"/>
        </w:rPr>
        <w:t xml:space="preserve"> vehicles hold out the prospect of fewer vehicle crashes and fewer insurance claims. Changes to insurance laws could be required to ensure liability for injuries caused by the technical failure of an automated driving system remains the responsibility of the manufacturer and supplier. Work is underway to identify what insurances should be held by vehicle manufacturers and suppliers, along with the claims process that should be in place for the injured party to access compensation. The Insurance Commission remains engaged with transport and insurance entities in the State and Commonwealth on this matter.</w:t>
      </w:r>
    </w:p>
    <w:p w14:paraId="59456B9F"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573E949E"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b/>
        </w:rPr>
      </w:pPr>
      <w:r w:rsidRPr="00E314F0">
        <w:rPr>
          <w:rFonts w:ascii="Arial" w:hAnsi="Arial" w:cs="Arial"/>
          <w:b/>
        </w:rPr>
        <w:t>Industrial Diseases Insurance</w:t>
      </w:r>
    </w:p>
    <w:p w14:paraId="16D853C8"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rPr>
      </w:pPr>
      <w:r w:rsidRPr="00E314F0">
        <w:rPr>
          <w:rFonts w:ascii="Arial" w:hAnsi="Arial" w:cs="Arial"/>
        </w:rPr>
        <w:t>The Insurance Commission has provided industrial diseases insurance to mining and exploration companies for decades as private insu</w:t>
      </w:r>
      <w:r>
        <w:rPr>
          <w:rFonts w:ascii="Arial" w:hAnsi="Arial" w:cs="Arial"/>
        </w:rPr>
        <w:t>rers did not cover that risk. Western Australia</w:t>
      </w:r>
      <w:r w:rsidRPr="00E314F0">
        <w:rPr>
          <w:rFonts w:ascii="Arial" w:hAnsi="Arial" w:cs="Arial"/>
        </w:rPr>
        <w:t xml:space="preserve"> is the only state in Australia where this</w:t>
      </w:r>
      <w:r>
        <w:rPr>
          <w:rFonts w:ascii="Arial" w:hAnsi="Arial" w:cs="Arial"/>
        </w:rPr>
        <w:t xml:space="preserve"> risk remains still insured by g</w:t>
      </w:r>
      <w:r w:rsidRPr="00E314F0">
        <w:rPr>
          <w:rFonts w:ascii="Arial" w:hAnsi="Arial" w:cs="Arial"/>
        </w:rPr>
        <w:t>overnment. The private insurance sector offers cover for those risks, which is why the Government committed to amend workers’ compensati</w:t>
      </w:r>
      <w:r>
        <w:rPr>
          <w:rFonts w:ascii="Arial" w:hAnsi="Arial" w:cs="Arial"/>
        </w:rPr>
        <w:t>on legislation in 2018 to exit g</w:t>
      </w:r>
      <w:r w:rsidRPr="00E314F0">
        <w:rPr>
          <w:rFonts w:ascii="Arial" w:hAnsi="Arial" w:cs="Arial"/>
        </w:rPr>
        <w:t>overnment provision of industrial diseases insurance. The Insurance Commission is working with WorkCover WA and the Government to deliver on that commitment.</w:t>
      </w:r>
    </w:p>
    <w:p w14:paraId="0412E618"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rPr>
      </w:pPr>
    </w:p>
    <w:p w14:paraId="6411D04D" w14:textId="77777777" w:rsidR="009E1A16" w:rsidRPr="00E314F0" w:rsidRDefault="009E1A16" w:rsidP="009E1A16">
      <w:pPr>
        <w:pBdr>
          <w:top w:val="single" w:sz="4" w:space="1" w:color="auto"/>
          <w:left w:val="single" w:sz="4" w:space="4" w:color="auto"/>
          <w:bottom w:val="single" w:sz="4" w:space="1" w:color="auto"/>
          <w:right w:val="single" w:sz="4" w:space="4" w:color="auto"/>
        </w:pBdr>
        <w:rPr>
          <w:rFonts w:ascii="Arial" w:hAnsi="Arial" w:cs="Arial"/>
          <w:b/>
        </w:rPr>
      </w:pPr>
      <w:r w:rsidRPr="00E314F0">
        <w:rPr>
          <w:rFonts w:ascii="Arial" w:hAnsi="Arial" w:cs="Arial"/>
          <w:b/>
        </w:rPr>
        <w:t>Law Reform Commission – Provisional Damages and Damages for Gratuitous Services</w:t>
      </w:r>
    </w:p>
    <w:p w14:paraId="40F64DF3" w14:textId="1A7112E9" w:rsidR="00802E99" w:rsidRDefault="009E1A16" w:rsidP="009E1A16">
      <w:pPr>
        <w:pBdr>
          <w:top w:val="single" w:sz="4" w:space="1" w:color="auto"/>
          <w:left w:val="single" w:sz="4" w:space="4" w:color="auto"/>
          <w:bottom w:val="single" w:sz="4" w:space="1" w:color="auto"/>
          <w:right w:val="single" w:sz="4" w:space="4" w:color="auto"/>
        </w:pBdr>
        <w:rPr>
          <w:rFonts w:ascii="Arial" w:hAnsi="Arial" w:cs="Arial"/>
          <w:bCs/>
          <w:szCs w:val="24"/>
        </w:rPr>
      </w:pPr>
      <w:r w:rsidRPr="00E314F0">
        <w:rPr>
          <w:rFonts w:ascii="Arial" w:hAnsi="Arial" w:cs="Arial"/>
        </w:rPr>
        <w:t xml:space="preserve">The Law Reform Commission proposed reforms to provisional damages and damages for gratuitous services. Those reforms if enacted would have material financial consequences to the price paid for insurance in Western Australia. The Insurance Commission has </w:t>
      </w:r>
      <w:r>
        <w:rPr>
          <w:rFonts w:ascii="Arial" w:hAnsi="Arial" w:cs="Arial"/>
        </w:rPr>
        <w:t>provided</w:t>
      </w:r>
      <w:r w:rsidRPr="00E314F0">
        <w:rPr>
          <w:rFonts w:ascii="Arial" w:hAnsi="Arial" w:cs="Arial"/>
        </w:rPr>
        <w:t xml:space="preserve"> financial analysis and policy advice to Government on the proposed reforms.</w:t>
      </w:r>
    </w:p>
    <w:p w14:paraId="587E9134" w14:textId="77777777" w:rsidR="00802E99" w:rsidRDefault="00802E99" w:rsidP="00802E99">
      <w:pPr>
        <w:rPr>
          <w:rFonts w:ascii="Arial" w:hAnsi="Arial" w:cs="Arial"/>
          <w:bCs/>
          <w:szCs w:val="24"/>
        </w:rPr>
      </w:pPr>
    </w:p>
    <w:p w14:paraId="79F033E6" w14:textId="77777777" w:rsidR="00802E99" w:rsidRDefault="00802E99" w:rsidP="00802E99">
      <w:pPr>
        <w:rPr>
          <w:rFonts w:ascii="Arial" w:hAnsi="Arial" w:cs="Arial"/>
          <w:bCs/>
          <w:szCs w:val="24"/>
        </w:rPr>
      </w:pPr>
    </w:p>
    <w:p w14:paraId="613D5EC7" w14:textId="02E324EB" w:rsidR="00CD422C" w:rsidRDefault="00CD422C" w:rsidP="00CD422C">
      <w:pPr>
        <w:pStyle w:val="ARHeading1"/>
      </w:pPr>
      <w:bookmarkStart w:id="67" w:name="_Toc524709395"/>
      <w:bookmarkStart w:id="68" w:name="_Toc390680592"/>
      <w:bookmarkStart w:id="69" w:name="_Toc458802744"/>
      <w:r>
        <w:lastRenderedPageBreak/>
        <w:t>5.</w:t>
      </w:r>
      <w:r>
        <w:tab/>
        <w:t>Financial Statements</w:t>
      </w:r>
      <w:bookmarkEnd w:id="67"/>
    </w:p>
    <w:p w14:paraId="7E8C539B" w14:textId="115B8155" w:rsidR="00802E99" w:rsidRPr="0018713C" w:rsidRDefault="001B472F" w:rsidP="00802E99">
      <w:pPr>
        <w:pStyle w:val="ARHeading2"/>
        <w:rPr>
          <w:rFonts w:eastAsia="Times New Roman"/>
        </w:rPr>
      </w:pPr>
      <w:r>
        <w:rPr>
          <w:rFonts w:eastAsia="Times New Roman"/>
        </w:rPr>
        <w:br/>
      </w:r>
      <w:bookmarkStart w:id="70" w:name="_Toc524709396"/>
      <w:r w:rsidR="00802E99" w:rsidRPr="0018713C">
        <w:rPr>
          <w:rFonts w:eastAsia="Times New Roman"/>
        </w:rPr>
        <w:t>5.1</w:t>
      </w:r>
      <w:r w:rsidR="00802E99" w:rsidRPr="0018713C">
        <w:rPr>
          <w:rFonts w:eastAsia="Times New Roman"/>
        </w:rPr>
        <w:tab/>
        <w:t>Statements of Compliance</w:t>
      </w:r>
      <w:bookmarkEnd w:id="68"/>
      <w:bookmarkEnd w:id="69"/>
      <w:bookmarkEnd w:id="70"/>
      <w:r w:rsidR="00802E99" w:rsidRPr="0018713C">
        <w:rPr>
          <w:rFonts w:eastAsia="Times New Roman"/>
        </w:rPr>
        <w:t xml:space="preserve"> </w:t>
      </w:r>
      <w:r w:rsidR="00802E99">
        <w:rPr>
          <w:rFonts w:eastAsia="Times New Roman"/>
        </w:rPr>
        <w:br/>
      </w:r>
    </w:p>
    <w:p w14:paraId="68706B2D" w14:textId="77777777" w:rsidR="00802E99" w:rsidRPr="0018713C" w:rsidRDefault="00802E99" w:rsidP="00802E99">
      <w:pPr>
        <w:autoSpaceDE w:val="0"/>
        <w:autoSpaceDN w:val="0"/>
        <w:adjustRightInd w:val="0"/>
        <w:rPr>
          <w:rFonts w:ascii="Arial" w:eastAsia="Calibri" w:hAnsi="Arial" w:cs="Arial"/>
          <w:lang w:val="en-US"/>
        </w:rPr>
      </w:pPr>
      <w:r w:rsidRPr="0018713C">
        <w:rPr>
          <w:rFonts w:ascii="Arial" w:eastAsia="Calibri" w:hAnsi="Arial" w:cs="Arial"/>
          <w:lang w:val="en-US"/>
        </w:rPr>
        <w:t xml:space="preserve">The accompanying financial statements have been prepared in accordance with the provisions of the </w:t>
      </w:r>
      <w:r w:rsidRPr="0018713C">
        <w:rPr>
          <w:rFonts w:ascii="Arial" w:eastAsia="Calibri" w:hAnsi="Arial" w:cs="Arial"/>
          <w:i/>
          <w:iCs/>
          <w:lang w:val="en-US"/>
        </w:rPr>
        <w:t xml:space="preserve">Financial Management Act 2006 </w:t>
      </w:r>
      <w:r w:rsidRPr="0018713C">
        <w:rPr>
          <w:rFonts w:ascii="Arial" w:eastAsia="Calibri" w:hAnsi="Arial" w:cs="Arial"/>
          <w:lang w:val="en-US"/>
        </w:rPr>
        <w:t>from proper accounts and records to present fairly the financial transactions for 201</w:t>
      </w:r>
      <w:r>
        <w:rPr>
          <w:rFonts w:ascii="Arial" w:eastAsia="Calibri" w:hAnsi="Arial" w:cs="Arial"/>
          <w:lang w:val="en-US"/>
        </w:rPr>
        <w:t>8</w:t>
      </w:r>
      <w:r w:rsidRPr="0018713C">
        <w:rPr>
          <w:rFonts w:ascii="Arial" w:eastAsia="Calibri" w:hAnsi="Arial" w:cs="Arial"/>
          <w:lang w:val="en-US"/>
        </w:rPr>
        <w:t xml:space="preserve"> and the financial position as at 30 June 201</w:t>
      </w:r>
      <w:r>
        <w:rPr>
          <w:rFonts w:ascii="Arial" w:eastAsia="Calibri" w:hAnsi="Arial" w:cs="Arial"/>
          <w:lang w:val="en-US"/>
        </w:rPr>
        <w:t>8</w:t>
      </w:r>
      <w:r w:rsidRPr="0018713C">
        <w:rPr>
          <w:rFonts w:ascii="Arial" w:eastAsia="Calibri" w:hAnsi="Arial" w:cs="Arial"/>
          <w:lang w:val="en-US"/>
        </w:rPr>
        <w:t>.</w:t>
      </w:r>
    </w:p>
    <w:p w14:paraId="3BCC7F94" w14:textId="77777777" w:rsidR="00802E99" w:rsidRPr="0018713C" w:rsidRDefault="00802E99" w:rsidP="00802E99">
      <w:pPr>
        <w:autoSpaceDE w:val="0"/>
        <w:autoSpaceDN w:val="0"/>
        <w:adjustRightInd w:val="0"/>
        <w:rPr>
          <w:rFonts w:ascii="Arial" w:eastAsia="Calibri" w:hAnsi="Arial" w:cs="Arial"/>
          <w:lang w:val="en-US"/>
        </w:rPr>
      </w:pPr>
    </w:p>
    <w:p w14:paraId="2F472FA0" w14:textId="77777777" w:rsidR="00802E99" w:rsidRPr="0018713C" w:rsidRDefault="00802E99" w:rsidP="00802E99">
      <w:pPr>
        <w:autoSpaceDE w:val="0"/>
        <w:autoSpaceDN w:val="0"/>
        <w:adjustRightInd w:val="0"/>
        <w:rPr>
          <w:rFonts w:ascii="Arial" w:eastAsia="Calibri" w:hAnsi="Arial" w:cs="Arial"/>
          <w:b/>
          <w:bCs/>
          <w:lang w:val="en-US"/>
        </w:rPr>
      </w:pPr>
      <w:r w:rsidRPr="0018713C">
        <w:rPr>
          <w:rFonts w:ascii="Arial" w:eastAsia="Calibri" w:hAnsi="Arial" w:cs="Arial"/>
          <w:lang w:val="en-US"/>
        </w:rPr>
        <w:t>At the date of signing, we are not aware of any circumstances that would render the particulars included in the financial statements misleading or inaccurate.</w:t>
      </w:r>
    </w:p>
    <w:p w14:paraId="58FAE550" w14:textId="77777777" w:rsidR="00802E99" w:rsidRPr="0018713C" w:rsidRDefault="00802E99" w:rsidP="00802E99">
      <w:pPr>
        <w:autoSpaceDE w:val="0"/>
        <w:autoSpaceDN w:val="0"/>
        <w:adjustRightInd w:val="0"/>
        <w:rPr>
          <w:rFonts w:ascii="Arial" w:eastAsia="Calibri" w:hAnsi="Arial" w:cs="Arial"/>
          <w:iCs/>
          <w:caps/>
          <w:lang w:val="en-US"/>
        </w:rPr>
        <w:sectPr w:rsidR="00802E99" w:rsidRPr="0018713C" w:rsidSect="00725283">
          <w:footerReference w:type="default" r:id="rId51"/>
          <w:pgSz w:w="11906" w:h="16838"/>
          <w:pgMar w:top="1701" w:right="1440" w:bottom="1276" w:left="1440" w:header="708" w:footer="708" w:gutter="0"/>
          <w:cols w:space="708"/>
          <w:titlePg/>
          <w:docGrid w:linePitch="360"/>
        </w:sectPr>
      </w:pPr>
    </w:p>
    <w:p w14:paraId="2C3C2640" w14:textId="77777777" w:rsidR="00802E99" w:rsidRPr="0018713C" w:rsidRDefault="00802E99" w:rsidP="00802E99">
      <w:pPr>
        <w:autoSpaceDE w:val="0"/>
        <w:autoSpaceDN w:val="0"/>
        <w:adjustRightInd w:val="0"/>
        <w:rPr>
          <w:rFonts w:ascii="Arial" w:eastAsia="Calibri" w:hAnsi="Arial" w:cs="Arial"/>
          <w:iCs/>
          <w:caps/>
          <w:lang w:val="en-US"/>
        </w:rPr>
      </w:pPr>
    </w:p>
    <w:p w14:paraId="1A942637" w14:textId="77777777" w:rsidR="00802E99" w:rsidRDefault="00802E99" w:rsidP="00802E99">
      <w:pPr>
        <w:autoSpaceDE w:val="0"/>
        <w:autoSpaceDN w:val="0"/>
        <w:adjustRightInd w:val="0"/>
        <w:rPr>
          <w:rFonts w:ascii="Arial" w:eastAsia="Calibri" w:hAnsi="Arial" w:cs="Arial"/>
          <w:iCs/>
          <w:caps/>
          <w:lang w:val="en-US"/>
        </w:rPr>
      </w:pPr>
    </w:p>
    <w:p w14:paraId="408AD1F7" w14:textId="77777777" w:rsidR="00802E99" w:rsidRPr="0018713C" w:rsidRDefault="00802E99" w:rsidP="00802E99">
      <w:pPr>
        <w:autoSpaceDE w:val="0"/>
        <w:autoSpaceDN w:val="0"/>
        <w:adjustRightInd w:val="0"/>
        <w:rPr>
          <w:rFonts w:ascii="Arial" w:eastAsia="Calibri" w:hAnsi="Arial" w:cs="Arial"/>
          <w:iCs/>
          <w:caps/>
          <w:lang w:val="en-US"/>
        </w:rPr>
      </w:pPr>
      <w:r w:rsidRPr="0018713C">
        <w:rPr>
          <w:rFonts w:ascii="Arial" w:eastAsia="Calibri" w:hAnsi="Arial" w:cs="Arial"/>
          <w:iCs/>
          <w:caps/>
          <w:noProof/>
          <w:lang w:eastAsia="en-AU"/>
        </w:rPr>
        <w:drawing>
          <wp:inline distT="0" distB="0" distL="0" distR="0" wp14:anchorId="4F1B74AD" wp14:editId="6B57F82C">
            <wp:extent cx="1610360" cy="554355"/>
            <wp:effectExtent l="0" t="0" r="8890" b="0"/>
            <wp:docPr id="11" name="Picture 2" descr="G:\Executive\Communications\Reports\External\Annual Report\2015\Electronic signatures\Frank Coop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xecutive\Communications\Reports\External\Annual Report\2015\Electronic signatures\Frank Cooper sig.jpg"/>
                    <pic:cNvPicPr>
                      <a:picLocks noChangeAspect="1" noChangeArrowheads="1"/>
                    </pic:cNvPicPr>
                  </pic:nvPicPr>
                  <pic:blipFill>
                    <a:blip r:embed="rId10" cstate="print">
                      <a:biLevel thresh="50000"/>
                    </a:blip>
                    <a:srcRect/>
                    <a:stretch>
                      <a:fillRect/>
                    </a:stretch>
                  </pic:blipFill>
                  <pic:spPr bwMode="auto">
                    <a:xfrm>
                      <a:off x="0" y="0"/>
                      <a:ext cx="1610360" cy="554355"/>
                    </a:xfrm>
                    <a:prstGeom prst="rect">
                      <a:avLst/>
                    </a:prstGeom>
                    <a:noFill/>
                    <a:ln w="9525">
                      <a:noFill/>
                      <a:miter lim="800000"/>
                      <a:headEnd/>
                      <a:tailEnd/>
                    </a:ln>
                  </pic:spPr>
                </pic:pic>
              </a:graphicData>
            </a:graphic>
          </wp:inline>
        </w:drawing>
      </w:r>
    </w:p>
    <w:p w14:paraId="28A5BD3C" w14:textId="77777777" w:rsidR="00802E99" w:rsidRPr="0018713C" w:rsidRDefault="00802E99" w:rsidP="00802E99">
      <w:pPr>
        <w:autoSpaceDE w:val="0"/>
        <w:autoSpaceDN w:val="0"/>
        <w:adjustRightInd w:val="0"/>
        <w:rPr>
          <w:rFonts w:ascii="Arial" w:eastAsia="Calibri" w:hAnsi="Arial" w:cs="Arial"/>
          <w:iCs/>
          <w:caps/>
          <w:lang w:val="en-US"/>
        </w:rPr>
      </w:pPr>
    </w:p>
    <w:p w14:paraId="79596BBA" w14:textId="77777777" w:rsidR="00802E99" w:rsidRPr="0018713C" w:rsidRDefault="00802E99" w:rsidP="00802E99">
      <w:pPr>
        <w:autoSpaceDE w:val="0"/>
        <w:autoSpaceDN w:val="0"/>
        <w:adjustRightInd w:val="0"/>
        <w:rPr>
          <w:rFonts w:ascii="Arial" w:eastAsia="Calibri" w:hAnsi="Arial" w:cs="Arial"/>
          <w:iCs/>
          <w:caps/>
          <w:lang w:val="en-US"/>
        </w:rPr>
      </w:pPr>
      <w:r w:rsidRPr="0018713C">
        <w:rPr>
          <w:rFonts w:ascii="Arial" w:eastAsia="Calibri" w:hAnsi="Arial" w:cs="Arial"/>
          <w:iCs/>
          <w:caps/>
          <w:lang w:val="en-US"/>
        </w:rPr>
        <w:t xml:space="preserve">Frank Cooper AO </w:t>
      </w:r>
    </w:p>
    <w:p w14:paraId="7686C2F7" w14:textId="77777777" w:rsidR="00802E99" w:rsidRPr="0018713C" w:rsidRDefault="00802E99" w:rsidP="00802E99">
      <w:pPr>
        <w:autoSpaceDE w:val="0"/>
        <w:autoSpaceDN w:val="0"/>
        <w:adjustRightInd w:val="0"/>
        <w:rPr>
          <w:rFonts w:ascii="Arial" w:eastAsia="Calibri" w:hAnsi="Arial" w:cs="Arial"/>
          <w:b/>
          <w:iCs/>
          <w:lang w:val="en-US"/>
        </w:rPr>
      </w:pPr>
      <w:r w:rsidRPr="0018713C">
        <w:rPr>
          <w:rFonts w:ascii="Arial" w:eastAsia="Calibri" w:hAnsi="Arial" w:cs="Arial"/>
          <w:b/>
          <w:iCs/>
          <w:lang w:val="en-US"/>
        </w:rPr>
        <w:t>CHAIRMAN</w:t>
      </w:r>
    </w:p>
    <w:p w14:paraId="2AF27C70" w14:textId="77777777" w:rsidR="00802E99" w:rsidRPr="0018713C" w:rsidRDefault="00802E99" w:rsidP="00802E99">
      <w:pPr>
        <w:autoSpaceDE w:val="0"/>
        <w:autoSpaceDN w:val="0"/>
        <w:adjustRightInd w:val="0"/>
        <w:rPr>
          <w:rFonts w:ascii="Arial" w:eastAsia="Calibri" w:hAnsi="Arial" w:cs="Arial"/>
          <w:iCs/>
          <w:lang w:val="en-US"/>
        </w:rPr>
      </w:pPr>
      <w:r>
        <w:rPr>
          <w:rFonts w:ascii="Arial" w:eastAsia="Calibri" w:hAnsi="Arial" w:cs="Arial"/>
          <w:iCs/>
          <w:lang w:val="en-US"/>
        </w:rPr>
        <w:t>11</w:t>
      </w:r>
      <w:r w:rsidRPr="0018713C">
        <w:rPr>
          <w:rFonts w:ascii="Arial" w:eastAsia="Calibri" w:hAnsi="Arial" w:cs="Arial"/>
          <w:iCs/>
          <w:lang w:val="en-US"/>
        </w:rPr>
        <w:t xml:space="preserve"> September 201</w:t>
      </w:r>
      <w:r>
        <w:rPr>
          <w:rFonts w:ascii="Arial" w:eastAsia="Calibri" w:hAnsi="Arial" w:cs="Arial"/>
          <w:iCs/>
          <w:lang w:val="en-US"/>
        </w:rPr>
        <w:t>8</w:t>
      </w:r>
    </w:p>
    <w:p w14:paraId="339C8E29" w14:textId="77777777" w:rsidR="00802E99" w:rsidRPr="0018713C" w:rsidRDefault="00802E99" w:rsidP="00802E99">
      <w:pPr>
        <w:autoSpaceDE w:val="0"/>
        <w:autoSpaceDN w:val="0"/>
        <w:adjustRightInd w:val="0"/>
        <w:rPr>
          <w:rFonts w:ascii="Arial" w:eastAsia="Calibri" w:hAnsi="Arial" w:cs="Arial"/>
          <w:b/>
          <w:bCs/>
          <w:lang w:val="en-US"/>
        </w:rPr>
      </w:pPr>
    </w:p>
    <w:p w14:paraId="18067A96" w14:textId="77777777" w:rsidR="00802E99" w:rsidRPr="0018713C" w:rsidRDefault="00802E99" w:rsidP="00802E99">
      <w:pPr>
        <w:autoSpaceDE w:val="0"/>
        <w:autoSpaceDN w:val="0"/>
        <w:adjustRightInd w:val="0"/>
        <w:rPr>
          <w:rFonts w:ascii="Arial" w:eastAsia="Calibri" w:hAnsi="Arial" w:cs="Arial"/>
          <w:b/>
          <w:bCs/>
          <w:lang w:val="en-US"/>
        </w:rPr>
      </w:pPr>
    </w:p>
    <w:p w14:paraId="4B998F1A" w14:textId="77777777" w:rsidR="00802E99" w:rsidRPr="0018713C" w:rsidRDefault="00802E99" w:rsidP="00802E99">
      <w:pPr>
        <w:autoSpaceDE w:val="0"/>
        <w:autoSpaceDN w:val="0"/>
        <w:adjustRightInd w:val="0"/>
        <w:rPr>
          <w:rFonts w:ascii="Arial" w:eastAsia="Calibri" w:hAnsi="Arial" w:cs="Arial"/>
          <w:iCs/>
          <w:caps/>
          <w:lang w:val="en-US"/>
        </w:rPr>
      </w:pPr>
    </w:p>
    <w:p w14:paraId="5D13C4A4" w14:textId="77777777" w:rsidR="00802E99" w:rsidRPr="0018713C" w:rsidRDefault="00802E99" w:rsidP="00802E99">
      <w:pPr>
        <w:autoSpaceDE w:val="0"/>
        <w:autoSpaceDN w:val="0"/>
        <w:adjustRightInd w:val="0"/>
        <w:ind w:left="-142"/>
        <w:rPr>
          <w:rFonts w:ascii="Arial" w:eastAsia="Calibri" w:hAnsi="Arial" w:cs="Arial"/>
          <w:iCs/>
          <w:caps/>
          <w:lang w:val="en-US"/>
        </w:rPr>
      </w:pPr>
    </w:p>
    <w:p w14:paraId="5A6BAC81" w14:textId="77777777" w:rsidR="00802E99" w:rsidRPr="0018713C" w:rsidRDefault="00802E99" w:rsidP="00802E99">
      <w:pPr>
        <w:autoSpaceDE w:val="0"/>
        <w:autoSpaceDN w:val="0"/>
        <w:adjustRightInd w:val="0"/>
        <w:ind w:left="-142"/>
        <w:rPr>
          <w:rFonts w:ascii="Arial" w:eastAsia="Calibri" w:hAnsi="Arial" w:cs="Arial"/>
          <w:iCs/>
          <w:caps/>
          <w:lang w:val="en-US"/>
        </w:rPr>
      </w:pPr>
      <w:r w:rsidRPr="0018713C">
        <w:rPr>
          <w:rFonts w:ascii="Arial" w:eastAsia="Calibri" w:hAnsi="Arial" w:cs="Arial"/>
          <w:iCs/>
          <w:caps/>
          <w:noProof/>
          <w:lang w:eastAsia="en-AU"/>
        </w:rPr>
        <w:drawing>
          <wp:inline distT="0" distB="0" distL="0" distR="0" wp14:anchorId="28D89C55" wp14:editId="18F23589">
            <wp:extent cx="1610360" cy="709930"/>
            <wp:effectExtent l="0" t="0" r="8890" b="0"/>
            <wp:docPr id="7" name="Picture 1" descr="G:\Executive\Communications\Reports\External\Annual Report\2015\Electronic signatures\Rod Whith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xecutive\Communications\Reports\External\Annual Report\2015\Electronic signatures\Rod Whithear 1.jpg"/>
                    <pic:cNvPicPr>
                      <a:picLocks noChangeAspect="1" noChangeArrowheads="1"/>
                    </pic:cNvPicPr>
                  </pic:nvPicPr>
                  <pic:blipFill>
                    <a:blip r:embed="rId11" cstate="print"/>
                    <a:srcRect/>
                    <a:stretch>
                      <a:fillRect/>
                    </a:stretch>
                  </pic:blipFill>
                  <pic:spPr bwMode="auto">
                    <a:xfrm>
                      <a:off x="0" y="0"/>
                      <a:ext cx="1610360" cy="709930"/>
                    </a:xfrm>
                    <a:prstGeom prst="rect">
                      <a:avLst/>
                    </a:prstGeom>
                    <a:noFill/>
                    <a:ln w="9525">
                      <a:noFill/>
                      <a:miter lim="800000"/>
                      <a:headEnd/>
                      <a:tailEnd/>
                    </a:ln>
                  </pic:spPr>
                </pic:pic>
              </a:graphicData>
            </a:graphic>
          </wp:inline>
        </w:drawing>
      </w:r>
    </w:p>
    <w:p w14:paraId="6FC5C466" w14:textId="77777777" w:rsidR="00802E99" w:rsidRPr="0018713C" w:rsidRDefault="00802E99" w:rsidP="00802E99">
      <w:pPr>
        <w:autoSpaceDE w:val="0"/>
        <w:autoSpaceDN w:val="0"/>
        <w:adjustRightInd w:val="0"/>
        <w:ind w:left="-142"/>
        <w:rPr>
          <w:rFonts w:ascii="Arial" w:eastAsia="Calibri" w:hAnsi="Arial" w:cs="Arial"/>
          <w:iCs/>
          <w:caps/>
          <w:lang w:val="en-US"/>
        </w:rPr>
      </w:pPr>
      <w:r w:rsidRPr="0018713C">
        <w:rPr>
          <w:rFonts w:ascii="Arial" w:eastAsia="Calibri" w:hAnsi="Arial" w:cs="Arial"/>
          <w:iCs/>
          <w:caps/>
          <w:lang w:val="en-US"/>
        </w:rPr>
        <w:t>Rod Whithear</w:t>
      </w:r>
    </w:p>
    <w:p w14:paraId="110C80B5" w14:textId="77777777" w:rsidR="00802E99" w:rsidRPr="0018713C" w:rsidRDefault="00802E99" w:rsidP="00802E99">
      <w:pPr>
        <w:autoSpaceDE w:val="0"/>
        <w:autoSpaceDN w:val="0"/>
        <w:adjustRightInd w:val="0"/>
        <w:ind w:left="-142"/>
        <w:rPr>
          <w:rFonts w:ascii="Arial" w:eastAsia="Calibri" w:hAnsi="Arial" w:cs="Arial"/>
          <w:b/>
          <w:iCs/>
          <w:lang w:val="en-US"/>
        </w:rPr>
      </w:pPr>
      <w:r w:rsidRPr="0018713C">
        <w:rPr>
          <w:rFonts w:ascii="Arial" w:eastAsia="Calibri" w:hAnsi="Arial" w:cs="Arial"/>
          <w:b/>
          <w:iCs/>
          <w:lang w:val="en-US"/>
        </w:rPr>
        <w:t>CHIEF EXECUTIVE</w:t>
      </w:r>
    </w:p>
    <w:p w14:paraId="27B258C7" w14:textId="77777777" w:rsidR="00802E99" w:rsidRPr="0018713C" w:rsidRDefault="00802E99" w:rsidP="00802E99">
      <w:pPr>
        <w:autoSpaceDE w:val="0"/>
        <w:autoSpaceDN w:val="0"/>
        <w:adjustRightInd w:val="0"/>
        <w:ind w:left="-142"/>
        <w:rPr>
          <w:rFonts w:ascii="Arial" w:eastAsia="Calibri" w:hAnsi="Arial" w:cs="Arial"/>
          <w:iCs/>
          <w:lang w:val="en-US"/>
        </w:rPr>
      </w:pPr>
      <w:r>
        <w:rPr>
          <w:rFonts w:ascii="Arial" w:eastAsia="Calibri" w:hAnsi="Arial" w:cs="Arial"/>
          <w:iCs/>
          <w:lang w:val="en-US"/>
        </w:rPr>
        <w:t>11</w:t>
      </w:r>
      <w:r w:rsidRPr="0018713C">
        <w:rPr>
          <w:rFonts w:ascii="Arial" w:eastAsia="Calibri" w:hAnsi="Arial" w:cs="Arial"/>
          <w:iCs/>
          <w:lang w:val="en-US"/>
        </w:rPr>
        <w:t xml:space="preserve"> September 201</w:t>
      </w:r>
      <w:r>
        <w:rPr>
          <w:rFonts w:ascii="Arial" w:eastAsia="Calibri" w:hAnsi="Arial" w:cs="Arial"/>
          <w:iCs/>
          <w:lang w:val="en-US"/>
        </w:rPr>
        <w:t>8</w:t>
      </w:r>
    </w:p>
    <w:p w14:paraId="0004868A" w14:textId="77777777" w:rsidR="00802E99" w:rsidRPr="0018713C" w:rsidRDefault="00802E99" w:rsidP="00802E99">
      <w:pPr>
        <w:autoSpaceDE w:val="0"/>
        <w:autoSpaceDN w:val="0"/>
        <w:adjustRightInd w:val="0"/>
        <w:rPr>
          <w:rFonts w:ascii="Arial" w:eastAsia="Calibri" w:hAnsi="Arial" w:cs="Arial"/>
          <w:b/>
          <w:bCs/>
          <w:lang w:val="en-US"/>
        </w:rPr>
      </w:pPr>
    </w:p>
    <w:p w14:paraId="48AA111B" w14:textId="77777777" w:rsidR="00802E99" w:rsidRPr="0018713C" w:rsidRDefault="00802E99" w:rsidP="00802E99">
      <w:pPr>
        <w:autoSpaceDE w:val="0"/>
        <w:autoSpaceDN w:val="0"/>
        <w:adjustRightInd w:val="0"/>
        <w:rPr>
          <w:rFonts w:ascii="Arial" w:eastAsia="Calibri" w:hAnsi="Arial" w:cs="Arial"/>
          <w:b/>
          <w:bCs/>
          <w:lang w:val="en-US"/>
        </w:rPr>
      </w:pPr>
    </w:p>
    <w:p w14:paraId="3F5F22C2" w14:textId="77777777" w:rsidR="00802E99" w:rsidRPr="0018713C" w:rsidRDefault="00802E99" w:rsidP="00802E99">
      <w:pPr>
        <w:autoSpaceDE w:val="0"/>
        <w:autoSpaceDN w:val="0"/>
        <w:adjustRightInd w:val="0"/>
        <w:rPr>
          <w:rFonts w:ascii="Arial" w:eastAsia="Calibri" w:hAnsi="Arial" w:cs="Arial"/>
          <w:bCs/>
          <w:caps/>
          <w:lang w:val="en-US"/>
        </w:rPr>
      </w:pPr>
    </w:p>
    <w:p w14:paraId="3FC54E09" w14:textId="77777777" w:rsidR="00802E99" w:rsidRPr="0018713C" w:rsidRDefault="00802E99" w:rsidP="00802E99">
      <w:pPr>
        <w:autoSpaceDE w:val="0"/>
        <w:autoSpaceDN w:val="0"/>
        <w:adjustRightInd w:val="0"/>
        <w:ind w:left="-284"/>
        <w:rPr>
          <w:rFonts w:ascii="Arial" w:eastAsia="Calibri" w:hAnsi="Arial" w:cs="Arial"/>
          <w:bCs/>
          <w:caps/>
          <w:lang w:val="en-US"/>
        </w:rPr>
      </w:pPr>
      <w:r w:rsidRPr="0018713C">
        <w:rPr>
          <w:rFonts w:ascii="Arial" w:eastAsia="Calibri" w:hAnsi="Arial" w:cs="Arial"/>
          <w:bCs/>
          <w:caps/>
          <w:noProof/>
          <w:lang w:eastAsia="en-AU"/>
        </w:rPr>
        <w:drawing>
          <wp:inline distT="0" distB="0" distL="0" distR="0" wp14:anchorId="1EFC7547" wp14:editId="562BFA96">
            <wp:extent cx="1441615" cy="872726"/>
            <wp:effectExtent l="19050" t="0" r="6185" b="0"/>
            <wp:docPr id="12" name="Picture 3" descr="G:\Executive\Communications\Reports\External\Annual Report\2015\Electronic signatures\Damon DeNooy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xecutive\Communications\Reports\External\Annual Report\2015\Electronic signatures\Damon DeNooyer sig.jpg"/>
                    <pic:cNvPicPr>
                      <a:picLocks noChangeAspect="1" noChangeArrowheads="1"/>
                    </pic:cNvPicPr>
                  </pic:nvPicPr>
                  <pic:blipFill>
                    <a:blip r:embed="rId52" cstate="print"/>
                    <a:srcRect/>
                    <a:stretch>
                      <a:fillRect/>
                    </a:stretch>
                  </pic:blipFill>
                  <pic:spPr bwMode="auto">
                    <a:xfrm>
                      <a:off x="0" y="0"/>
                      <a:ext cx="1443251" cy="873716"/>
                    </a:xfrm>
                    <a:prstGeom prst="rect">
                      <a:avLst/>
                    </a:prstGeom>
                    <a:noFill/>
                    <a:ln w="9525">
                      <a:noFill/>
                      <a:miter lim="800000"/>
                      <a:headEnd/>
                      <a:tailEnd/>
                    </a:ln>
                  </pic:spPr>
                </pic:pic>
              </a:graphicData>
            </a:graphic>
          </wp:inline>
        </w:drawing>
      </w:r>
      <w:r w:rsidRPr="0018713C">
        <w:rPr>
          <w:rFonts w:ascii="Arial" w:eastAsia="Calibri" w:hAnsi="Arial" w:cs="Arial"/>
          <w:bCs/>
          <w:caps/>
          <w:lang w:val="en-US"/>
        </w:rPr>
        <w:t>Damon de Nooyer</w:t>
      </w:r>
    </w:p>
    <w:p w14:paraId="0F4F75C8" w14:textId="0A44838F" w:rsidR="00802E99" w:rsidRPr="0018713C" w:rsidRDefault="00802E99" w:rsidP="00802E99">
      <w:pPr>
        <w:autoSpaceDE w:val="0"/>
        <w:autoSpaceDN w:val="0"/>
        <w:adjustRightInd w:val="0"/>
        <w:ind w:left="-284"/>
        <w:rPr>
          <w:rFonts w:ascii="Arial" w:eastAsia="Calibri" w:hAnsi="Arial" w:cs="Arial"/>
          <w:b/>
          <w:bCs/>
          <w:lang w:val="en-US"/>
        </w:rPr>
      </w:pPr>
      <w:r>
        <w:rPr>
          <w:rFonts w:ascii="Arial" w:eastAsia="Calibri" w:hAnsi="Arial" w:cs="Arial"/>
          <w:b/>
          <w:bCs/>
          <w:lang w:val="en-US"/>
        </w:rPr>
        <w:t xml:space="preserve">CHIEF </w:t>
      </w:r>
      <w:r w:rsidRPr="0018713C">
        <w:rPr>
          <w:rFonts w:ascii="Arial" w:eastAsia="Calibri" w:hAnsi="Arial" w:cs="Arial"/>
          <w:b/>
          <w:bCs/>
          <w:lang w:val="en-US"/>
        </w:rPr>
        <w:t>FINANCE OFFICER</w:t>
      </w:r>
    </w:p>
    <w:p w14:paraId="76662A35" w14:textId="77777777" w:rsidR="00802E99" w:rsidRPr="0018713C" w:rsidRDefault="00802E99" w:rsidP="00802E99">
      <w:pPr>
        <w:autoSpaceDE w:val="0"/>
        <w:autoSpaceDN w:val="0"/>
        <w:adjustRightInd w:val="0"/>
        <w:ind w:left="-284"/>
        <w:rPr>
          <w:rFonts w:ascii="Arial" w:eastAsia="Calibri" w:hAnsi="Arial" w:cs="Arial"/>
          <w:iCs/>
          <w:lang w:val="en-US"/>
        </w:rPr>
      </w:pPr>
      <w:bookmarkStart w:id="71" w:name="_Toc390680593"/>
      <w:r>
        <w:rPr>
          <w:rFonts w:ascii="Arial" w:eastAsia="Calibri" w:hAnsi="Arial" w:cs="Arial"/>
          <w:iCs/>
          <w:lang w:val="en-US"/>
        </w:rPr>
        <w:t>11</w:t>
      </w:r>
      <w:r w:rsidRPr="0018713C">
        <w:rPr>
          <w:rFonts w:ascii="Arial" w:eastAsia="Calibri" w:hAnsi="Arial" w:cs="Arial"/>
          <w:iCs/>
          <w:lang w:val="en-US"/>
        </w:rPr>
        <w:t xml:space="preserve"> September 201</w:t>
      </w:r>
      <w:r>
        <w:rPr>
          <w:rFonts w:ascii="Arial" w:eastAsia="Calibri" w:hAnsi="Arial" w:cs="Arial"/>
          <w:iCs/>
          <w:lang w:val="en-US"/>
        </w:rPr>
        <w:t>8</w:t>
      </w:r>
    </w:p>
    <w:p w14:paraId="486E2811" w14:textId="77777777" w:rsidR="00802E99" w:rsidRPr="0018713C" w:rsidRDefault="00802E99" w:rsidP="00802E99">
      <w:pPr>
        <w:autoSpaceDE w:val="0"/>
        <w:autoSpaceDN w:val="0"/>
        <w:adjustRightInd w:val="0"/>
        <w:spacing w:before="200" w:after="200"/>
        <w:rPr>
          <w:rFonts w:ascii="Arial" w:eastAsia="Calibri" w:hAnsi="Arial" w:cs="Arial"/>
          <w:b/>
          <w:bCs/>
          <w:smallCaps/>
          <w:lang w:val="en-US"/>
        </w:rPr>
        <w:sectPr w:rsidR="00802E99" w:rsidRPr="0018713C" w:rsidSect="004046F0">
          <w:type w:val="continuous"/>
          <w:pgSz w:w="11906" w:h="16838"/>
          <w:pgMar w:top="1080" w:right="1440" w:bottom="720" w:left="1440" w:header="708" w:footer="708" w:gutter="0"/>
          <w:cols w:num="3" w:space="708"/>
          <w:docGrid w:linePitch="360"/>
        </w:sectPr>
      </w:pPr>
    </w:p>
    <w:bookmarkEnd w:id="71"/>
    <w:p w14:paraId="4503F4E9" w14:textId="77777777" w:rsidR="00802E99" w:rsidRDefault="00802E99" w:rsidP="00802E99">
      <w:pPr>
        <w:autoSpaceDE w:val="0"/>
        <w:autoSpaceDN w:val="0"/>
        <w:adjustRightInd w:val="0"/>
        <w:rPr>
          <w:rFonts w:ascii="Arial" w:eastAsia="Calibri" w:hAnsi="Arial" w:cs="Arial"/>
          <w:lang w:val="en-US"/>
        </w:rPr>
      </w:pPr>
    </w:p>
    <w:p w14:paraId="43D7553A" w14:textId="77777777" w:rsidR="00802E99" w:rsidRPr="00A73C52" w:rsidRDefault="00802E99" w:rsidP="00802E99">
      <w:pPr>
        <w:autoSpaceDE w:val="0"/>
        <w:autoSpaceDN w:val="0"/>
        <w:adjustRightInd w:val="0"/>
        <w:rPr>
          <w:rFonts w:ascii="Arial" w:eastAsia="Calibri" w:hAnsi="Arial" w:cs="Arial"/>
          <w:b/>
          <w:lang w:val="en-US"/>
        </w:rPr>
      </w:pPr>
      <w:r w:rsidRPr="00A73C52">
        <w:rPr>
          <w:rFonts w:ascii="Arial" w:eastAsia="Calibri" w:hAnsi="Arial" w:cs="Arial"/>
          <w:b/>
          <w:lang w:val="en-US"/>
        </w:rPr>
        <w:t>Key Performance Indicators</w:t>
      </w:r>
    </w:p>
    <w:p w14:paraId="36ED6FF5" w14:textId="77777777" w:rsidR="00802E99" w:rsidRPr="0018713C" w:rsidRDefault="00802E99" w:rsidP="00802E99">
      <w:pPr>
        <w:autoSpaceDE w:val="0"/>
        <w:autoSpaceDN w:val="0"/>
        <w:adjustRightInd w:val="0"/>
        <w:rPr>
          <w:rFonts w:ascii="Arial" w:eastAsia="Calibri" w:hAnsi="Arial" w:cs="Arial"/>
          <w:lang w:val="en-US"/>
        </w:rPr>
      </w:pPr>
      <w:r>
        <w:rPr>
          <w:rFonts w:ascii="Arial" w:eastAsia="Calibri" w:hAnsi="Arial" w:cs="Arial"/>
          <w:lang w:val="en-US"/>
        </w:rPr>
        <w:br/>
      </w:r>
      <w:r w:rsidRPr="0018713C">
        <w:rPr>
          <w:rFonts w:ascii="Arial" w:eastAsia="Calibri" w:hAnsi="Arial" w:cs="Arial"/>
          <w:lang w:val="en-US"/>
        </w:rPr>
        <w:t>We hereby certify that the Key Performance Indicators are based on proper records, are relevant and appropriate for assisting users to assess the Insurance Commission of Western Australia’s performance, and fairly represent the performance of the Insurance Commission of Western Australia for the financial year ended 30 June 201</w:t>
      </w:r>
      <w:r>
        <w:rPr>
          <w:rFonts w:ascii="Arial" w:eastAsia="Calibri" w:hAnsi="Arial" w:cs="Arial"/>
          <w:lang w:val="en-US"/>
        </w:rPr>
        <w:t>8</w:t>
      </w:r>
      <w:r w:rsidRPr="0018713C">
        <w:rPr>
          <w:rFonts w:ascii="Arial" w:eastAsia="Calibri" w:hAnsi="Arial" w:cs="Arial"/>
          <w:lang w:val="en-US"/>
        </w:rPr>
        <w:t>.</w:t>
      </w:r>
    </w:p>
    <w:p w14:paraId="4DECD455" w14:textId="77777777" w:rsidR="00802E99" w:rsidRPr="0018713C" w:rsidRDefault="00802E99" w:rsidP="00802E99">
      <w:pPr>
        <w:autoSpaceDE w:val="0"/>
        <w:autoSpaceDN w:val="0"/>
        <w:adjustRightInd w:val="0"/>
        <w:rPr>
          <w:rFonts w:ascii="Arial" w:eastAsia="Calibri" w:hAnsi="Arial" w:cs="Arial"/>
          <w:b/>
          <w:bCs/>
          <w:lang w:val="en-US"/>
        </w:rPr>
      </w:pPr>
    </w:p>
    <w:p w14:paraId="119AA1EA" w14:textId="77777777" w:rsidR="00802E99" w:rsidRPr="0018713C" w:rsidRDefault="00802E99" w:rsidP="00802E99">
      <w:pPr>
        <w:autoSpaceDE w:val="0"/>
        <w:autoSpaceDN w:val="0"/>
        <w:adjustRightInd w:val="0"/>
        <w:rPr>
          <w:rFonts w:ascii="Arial" w:eastAsia="Calibri" w:hAnsi="Arial" w:cs="Arial"/>
          <w:b/>
          <w:bCs/>
          <w:lang w:val="en-US"/>
        </w:rPr>
      </w:pPr>
    </w:p>
    <w:p w14:paraId="74424A19" w14:textId="77777777" w:rsidR="00802E99" w:rsidRPr="0018713C" w:rsidRDefault="00802E99" w:rsidP="00802E99">
      <w:pPr>
        <w:autoSpaceDE w:val="0"/>
        <w:autoSpaceDN w:val="0"/>
        <w:adjustRightInd w:val="0"/>
        <w:rPr>
          <w:rFonts w:ascii="Arial" w:eastAsia="Calibri" w:hAnsi="Arial" w:cs="Arial"/>
          <w:b/>
          <w:bCs/>
          <w:lang w:val="en-US"/>
        </w:rPr>
      </w:pPr>
    </w:p>
    <w:p w14:paraId="2E2194D9" w14:textId="77777777" w:rsidR="00802E99" w:rsidRPr="0018713C" w:rsidRDefault="00802E99" w:rsidP="00802E99">
      <w:pPr>
        <w:autoSpaceDE w:val="0"/>
        <w:autoSpaceDN w:val="0"/>
        <w:adjustRightInd w:val="0"/>
        <w:rPr>
          <w:rFonts w:ascii="Arial" w:eastAsia="Calibri" w:hAnsi="Arial" w:cs="Arial"/>
          <w:iCs/>
          <w:caps/>
          <w:lang w:val="en-US"/>
        </w:rPr>
        <w:sectPr w:rsidR="00802E99" w:rsidRPr="0018713C" w:rsidSect="004046F0">
          <w:type w:val="continuous"/>
          <w:pgSz w:w="11906" w:h="16838"/>
          <w:pgMar w:top="1080" w:right="1440" w:bottom="720" w:left="1440" w:header="708" w:footer="708" w:gutter="0"/>
          <w:cols w:space="708"/>
          <w:docGrid w:linePitch="360"/>
        </w:sectPr>
      </w:pPr>
    </w:p>
    <w:p w14:paraId="595814BC" w14:textId="77777777" w:rsidR="00802E99" w:rsidRPr="0018713C" w:rsidRDefault="00802E99" w:rsidP="00802E99">
      <w:pPr>
        <w:autoSpaceDE w:val="0"/>
        <w:autoSpaceDN w:val="0"/>
        <w:adjustRightInd w:val="0"/>
        <w:rPr>
          <w:rFonts w:ascii="Arial" w:eastAsia="Calibri" w:hAnsi="Arial" w:cs="Arial"/>
          <w:iCs/>
          <w:caps/>
          <w:lang w:val="en-US"/>
        </w:rPr>
      </w:pPr>
      <w:r w:rsidRPr="0018713C">
        <w:rPr>
          <w:rFonts w:ascii="Arial" w:eastAsia="Calibri" w:hAnsi="Arial" w:cs="Arial"/>
          <w:iCs/>
          <w:caps/>
          <w:noProof/>
          <w:lang w:eastAsia="en-AU"/>
        </w:rPr>
        <w:drawing>
          <wp:inline distT="0" distB="0" distL="0" distR="0" wp14:anchorId="70392581" wp14:editId="5B60BDF9">
            <wp:extent cx="1610360" cy="554533"/>
            <wp:effectExtent l="19050" t="0" r="8890" b="0"/>
            <wp:docPr id="16" name="Picture 2" descr="G:\Executive\Communications\Reports\External\Annual Report\2015\Electronic signatures\Frank Coop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xecutive\Communications\Reports\External\Annual Report\2015\Electronic signatures\Frank Cooper sig.jpg"/>
                    <pic:cNvPicPr>
                      <a:picLocks noChangeAspect="1" noChangeArrowheads="1"/>
                    </pic:cNvPicPr>
                  </pic:nvPicPr>
                  <pic:blipFill>
                    <a:blip r:embed="rId10" cstate="print">
                      <a:biLevel thresh="50000"/>
                    </a:blip>
                    <a:srcRect/>
                    <a:stretch>
                      <a:fillRect/>
                    </a:stretch>
                  </pic:blipFill>
                  <pic:spPr bwMode="auto">
                    <a:xfrm>
                      <a:off x="0" y="0"/>
                      <a:ext cx="1610360" cy="554533"/>
                    </a:xfrm>
                    <a:prstGeom prst="rect">
                      <a:avLst/>
                    </a:prstGeom>
                    <a:noFill/>
                    <a:ln w="9525">
                      <a:noFill/>
                      <a:miter lim="800000"/>
                      <a:headEnd/>
                      <a:tailEnd/>
                    </a:ln>
                  </pic:spPr>
                </pic:pic>
              </a:graphicData>
            </a:graphic>
          </wp:inline>
        </w:drawing>
      </w:r>
    </w:p>
    <w:p w14:paraId="23204A37" w14:textId="77777777" w:rsidR="00802E99" w:rsidRPr="0018713C" w:rsidRDefault="00802E99" w:rsidP="00802E99">
      <w:pPr>
        <w:autoSpaceDE w:val="0"/>
        <w:autoSpaceDN w:val="0"/>
        <w:adjustRightInd w:val="0"/>
        <w:rPr>
          <w:rFonts w:ascii="Arial" w:eastAsia="Calibri" w:hAnsi="Arial" w:cs="Arial"/>
          <w:iCs/>
          <w:caps/>
          <w:lang w:val="en-US"/>
        </w:rPr>
      </w:pPr>
    </w:p>
    <w:p w14:paraId="28CBD242" w14:textId="77777777" w:rsidR="00802E99" w:rsidRPr="0018713C" w:rsidRDefault="00802E99" w:rsidP="00802E99">
      <w:pPr>
        <w:autoSpaceDE w:val="0"/>
        <w:autoSpaceDN w:val="0"/>
        <w:adjustRightInd w:val="0"/>
        <w:rPr>
          <w:rFonts w:ascii="Arial" w:eastAsia="Calibri" w:hAnsi="Arial" w:cs="Arial"/>
          <w:iCs/>
          <w:caps/>
          <w:lang w:val="en-US"/>
        </w:rPr>
      </w:pPr>
      <w:r w:rsidRPr="0018713C">
        <w:rPr>
          <w:rFonts w:ascii="Arial" w:eastAsia="Calibri" w:hAnsi="Arial" w:cs="Arial"/>
          <w:iCs/>
          <w:caps/>
          <w:lang w:val="en-US"/>
        </w:rPr>
        <w:t>Frank Cooper AO</w:t>
      </w:r>
    </w:p>
    <w:p w14:paraId="2E4E033F" w14:textId="77777777" w:rsidR="00802E99" w:rsidRPr="0018713C" w:rsidRDefault="00802E99" w:rsidP="00802E99">
      <w:pPr>
        <w:autoSpaceDE w:val="0"/>
        <w:autoSpaceDN w:val="0"/>
        <w:adjustRightInd w:val="0"/>
        <w:rPr>
          <w:rFonts w:ascii="Arial" w:eastAsia="Calibri" w:hAnsi="Arial" w:cs="Arial"/>
          <w:b/>
          <w:iCs/>
          <w:lang w:val="en-US"/>
        </w:rPr>
      </w:pPr>
      <w:r w:rsidRPr="0018713C">
        <w:rPr>
          <w:rFonts w:ascii="Arial" w:eastAsia="Calibri" w:hAnsi="Arial" w:cs="Arial"/>
          <w:b/>
          <w:iCs/>
          <w:lang w:val="en-US"/>
        </w:rPr>
        <w:t>CHAIRMAN</w:t>
      </w:r>
    </w:p>
    <w:p w14:paraId="01DF567E" w14:textId="77777777" w:rsidR="00802E99" w:rsidRPr="0018713C" w:rsidRDefault="00802E99" w:rsidP="00802E99">
      <w:pPr>
        <w:autoSpaceDE w:val="0"/>
        <w:autoSpaceDN w:val="0"/>
        <w:adjustRightInd w:val="0"/>
        <w:rPr>
          <w:rFonts w:ascii="Arial" w:eastAsia="Calibri" w:hAnsi="Arial" w:cs="Arial"/>
          <w:iCs/>
          <w:lang w:val="en-US"/>
        </w:rPr>
      </w:pPr>
      <w:r>
        <w:rPr>
          <w:rFonts w:ascii="Arial" w:eastAsia="Calibri" w:hAnsi="Arial" w:cs="Arial"/>
          <w:iCs/>
          <w:lang w:val="en-US"/>
        </w:rPr>
        <w:t>11</w:t>
      </w:r>
      <w:r w:rsidRPr="0018713C">
        <w:rPr>
          <w:rFonts w:ascii="Arial" w:eastAsia="Calibri" w:hAnsi="Arial" w:cs="Arial"/>
          <w:iCs/>
          <w:lang w:val="en-US"/>
        </w:rPr>
        <w:t xml:space="preserve"> September 201</w:t>
      </w:r>
      <w:r>
        <w:rPr>
          <w:rFonts w:ascii="Arial" w:eastAsia="Calibri" w:hAnsi="Arial" w:cs="Arial"/>
          <w:iCs/>
          <w:lang w:val="en-US"/>
        </w:rPr>
        <w:t>8</w:t>
      </w:r>
    </w:p>
    <w:p w14:paraId="7005C1A3" w14:textId="77777777" w:rsidR="00802E99" w:rsidRPr="0018713C" w:rsidRDefault="00802E99" w:rsidP="00802E99">
      <w:pPr>
        <w:autoSpaceDE w:val="0"/>
        <w:autoSpaceDN w:val="0"/>
        <w:adjustRightInd w:val="0"/>
        <w:rPr>
          <w:rFonts w:ascii="Arial" w:eastAsia="Calibri" w:hAnsi="Arial" w:cs="Arial"/>
          <w:b/>
          <w:bCs/>
          <w:lang w:val="en-US"/>
        </w:rPr>
      </w:pPr>
    </w:p>
    <w:p w14:paraId="27E28E51" w14:textId="77777777" w:rsidR="00802E99" w:rsidRDefault="00802E99" w:rsidP="00802E99">
      <w:pPr>
        <w:autoSpaceDE w:val="0"/>
        <w:autoSpaceDN w:val="0"/>
        <w:adjustRightInd w:val="0"/>
        <w:rPr>
          <w:rFonts w:ascii="Arial" w:eastAsia="Calibri" w:hAnsi="Arial" w:cs="Arial"/>
          <w:b/>
        </w:rPr>
      </w:pPr>
    </w:p>
    <w:p w14:paraId="397A8CD2" w14:textId="77777777" w:rsidR="00802E99" w:rsidRDefault="00802E99" w:rsidP="00802E99">
      <w:pPr>
        <w:autoSpaceDE w:val="0"/>
        <w:autoSpaceDN w:val="0"/>
        <w:adjustRightInd w:val="0"/>
        <w:rPr>
          <w:rFonts w:ascii="Arial" w:eastAsia="Calibri" w:hAnsi="Arial" w:cs="Arial"/>
          <w:b/>
        </w:rPr>
      </w:pPr>
    </w:p>
    <w:p w14:paraId="2D793480" w14:textId="77777777" w:rsidR="00802E99" w:rsidRDefault="00802E99" w:rsidP="00802E99">
      <w:pPr>
        <w:autoSpaceDE w:val="0"/>
        <w:autoSpaceDN w:val="0"/>
        <w:adjustRightInd w:val="0"/>
        <w:rPr>
          <w:rFonts w:ascii="Arial" w:eastAsia="Calibri" w:hAnsi="Arial" w:cs="Arial"/>
          <w:b/>
        </w:rPr>
      </w:pPr>
    </w:p>
    <w:p w14:paraId="1DDFCEAB" w14:textId="77777777" w:rsidR="00802E99" w:rsidRDefault="00802E99" w:rsidP="00802E99">
      <w:pPr>
        <w:autoSpaceDE w:val="0"/>
        <w:autoSpaceDN w:val="0"/>
        <w:adjustRightInd w:val="0"/>
        <w:rPr>
          <w:rFonts w:ascii="Arial" w:eastAsia="Calibri" w:hAnsi="Arial" w:cs="Arial"/>
          <w:b/>
        </w:rPr>
      </w:pPr>
    </w:p>
    <w:p w14:paraId="2E084A7E" w14:textId="77777777" w:rsidR="00802E99" w:rsidRDefault="00802E99" w:rsidP="00802E99">
      <w:pPr>
        <w:autoSpaceDE w:val="0"/>
        <w:autoSpaceDN w:val="0"/>
        <w:adjustRightInd w:val="0"/>
        <w:rPr>
          <w:rFonts w:ascii="Arial" w:eastAsia="Calibri" w:hAnsi="Arial" w:cs="Arial"/>
          <w:b/>
        </w:rPr>
      </w:pPr>
    </w:p>
    <w:p w14:paraId="0F1E8B7C" w14:textId="77777777" w:rsidR="00802E99" w:rsidRDefault="00802E99" w:rsidP="00802E99">
      <w:pPr>
        <w:autoSpaceDE w:val="0"/>
        <w:autoSpaceDN w:val="0"/>
        <w:adjustRightInd w:val="0"/>
        <w:rPr>
          <w:rFonts w:ascii="Arial" w:eastAsia="Calibri" w:hAnsi="Arial" w:cs="Arial"/>
          <w:b/>
        </w:rPr>
      </w:pPr>
    </w:p>
    <w:p w14:paraId="617BD3BE" w14:textId="77777777" w:rsidR="00802E99" w:rsidRDefault="00802E99" w:rsidP="00802E99">
      <w:pPr>
        <w:autoSpaceDE w:val="0"/>
        <w:autoSpaceDN w:val="0"/>
        <w:adjustRightInd w:val="0"/>
        <w:rPr>
          <w:rFonts w:ascii="Arial" w:eastAsia="Calibri" w:hAnsi="Arial" w:cs="Arial"/>
          <w:b/>
        </w:rPr>
      </w:pPr>
    </w:p>
    <w:p w14:paraId="66771343" w14:textId="77777777" w:rsidR="00802E99" w:rsidRPr="0018713C" w:rsidRDefault="00802E99" w:rsidP="00802E99">
      <w:pPr>
        <w:autoSpaceDE w:val="0"/>
        <w:autoSpaceDN w:val="0"/>
        <w:adjustRightInd w:val="0"/>
        <w:rPr>
          <w:rFonts w:ascii="Arial" w:eastAsia="Calibri" w:hAnsi="Arial" w:cs="Arial"/>
          <w:b/>
          <w:bCs/>
          <w:lang w:val="en-US"/>
        </w:rPr>
      </w:pPr>
      <w:r w:rsidRPr="0018713C">
        <w:rPr>
          <w:rFonts w:ascii="Arial" w:eastAsia="Calibri" w:hAnsi="Arial" w:cs="Arial"/>
          <w:b/>
          <w:bCs/>
          <w:noProof/>
          <w:lang w:eastAsia="en-AU"/>
        </w:rPr>
        <w:drawing>
          <wp:inline distT="0" distB="0" distL="0" distR="0" wp14:anchorId="2964D9E4" wp14:editId="1D07D0E7">
            <wp:extent cx="1610360" cy="710222"/>
            <wp:effectExtent l="19050" t="0" r="8890" b="0"/>
            <wp:docPr id="28" name="Picture 1" descr="G:\Executive\Communications\Reports\External\Annual Report\2015\Electronic signatures\Rod Whith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xecutive\Communications\Reports\External\Annual Report\2015\Electronic signatures\Rod Whithear 1.jpg"/>
                    <pic:cNvPicPr>
                      <a:picLocks noChangeAspect="1" noChangeArrowheads="1"/>
                    </pic:cNvPicPr>
                  </pic:nvPicPr>
                  <pic:blipFill>
                    <a:blip r:embed="rId11" cstate="print"/>
                    <a:srcRect/>
                    <a:stretch>
                      <a:fillRect/>
                    </a:stretch>
                  </pic:blipFill>
                  <pic:spPr bwMode="auto">
                    <a:xfrm>
                      <a:off x="0" y="0"/>
                      <a:ext cx="1610360" cy="710222"/>
                    </a:xfrm>
                    <a:prstGeom prst="rect">
                      <a:avLst/>
                    </a:prstGeom>
                    <a:noFill/>
                    <a:ln w="9525">
                      <a:noFill/>
                      <a:miter lim="800000"/>
                      <a:headEnd/>
                      <a:tailEnd/>
                    </a:ln>
                  </pic:spPr>
                </pic:pic>
              </a:graphicData>
            </a:graphic>
          </wp:inline>
        </w:drawing>
      </w:r>
    </w:p>
    <w:p w14:paraId="012AD91F" w14:textId="77777777" w:rsidR="00802E99" w:rsidRPr="0018713C" w:rsidRDefault="00802E99" w:rsidP="00802E99">
      <w:pPr>
        <w:autoSpaceDE w:val="0"/>
        <w:autoSpaceDN w:val="0"/>
        <w:adjustRightInd w:val="0"/>
        <w:rPr>
          <w:rFonts w:ascii="Arial" w:eastAsia="Calibri" w:hAnsi="Arial" w:cs="Arial"/>
          <w:iCs/>
          <w:caps/>
          <w:lang w:val="en-US"/>
        </w:rPr>
      </w:pPr>
      <w:r w:rsidRPr="0018713C">
        <w:rPr>
          <w:rFonts w:ascii="Arial" w:eastAsia="Calibri" w:hAnsi="Arial" w:cs="Arial"/>
          <w:iCs/>
          <w:caps/>
          <w:lang w:val="en-US"/>
        </w:rPr>
        <w:t>Rod Whithear</w:t>
      </w:r>
    </w:p>
    <w:p w14:paraId="63D81D54" w14:textId="77777777" w:rsidR="00802E99" w:rsidRPr="0018713C" w:rsidRDefault="00802E99" w:rsidP="00802E99">
      <w:pPr>
        <w:autoSpaceDE w:val="0"/>
        <w:autoSpaceDN w:val="0"/>
        <w:adjustRightInd w:val="0"/>
        <w:rPr>
          <w:rFonts w:ascii="Arial" w:eastAsia="Calibri" w:hAnsi="Arial" w:cs="Arial"/>
          <w:b/>
          <w:iCs/>
          <w:lang w:val="en-US"/>
        </w:rPr>
      </w:pPr>
      <w:r w:rsidRPr="0018713C">
        <w:rPr>
          <w:rFonts w:ascii="Arial" w:eastAsia="Calibri" w:hAnsi="Arial" w:cs="Arial"/>
          <w:b/>
          <w:iCs/>
          <w:lang w:val="en-US"/>
        </w:rPr>
        <w:t>CHIEF EXECUTIVE</w:t>
      </w:r>
    </w:p>
    <w:p w14:paraId="74E9F9A7" w14:textId="77777777" w:rsidR="00802E99" w:rsidRPr="0018713C" w:rsidRDefault="00802E99" w:rsidP="00802E99">
      <w:pPr>
        <w:autoSpaceDE w:val="0"/>
        <w:autoSpaceDN w:val="0"/>
        <w:adjustRightInd w:val="0"/>
        <w:rPr>
          <w:rFonts w:ascii="Arial" w:eastAsia="Calibri" w:hAnsi="Arial" w:cs="Arial"/>
          <w:lang w:val="en-US"/>
        </w:rPr>
        <w:sectPr w:rsidR="00802E99" w:rsidRPr="0018713C" w:rsidSect="004046F0">
          <w:type w:val="continuous"/>
          <w:pgSz w:w="11906" w:h="16838"/>
          <w:pgMar w:top="1080" w:right="1440" w:bottom="720" w:left="1440" w:header="708" w:footer="708" w:gutter="0"/>
          <w:cols w:num="2" w:space="708"/>
          <w:docGrid w:linePitch="360"/>
        </w:sectPr>
      </w:pPr>
      <w:r>
        <w:rPr>
          <w:rFonts w:ascii="Arial" w:eastAsia="Calibri" w:hAnsi="Arial" w:cs="Arial"/>
          <w:iCs/>
          <w:lang w:val="en-US"/>
        </w:rPr>
        <w:t>11</w:t>
      </w:r>
      <w:r w:rsidRPr="0018713C">
        <w:rPr>
          <w:rFonts w:ascii="Arial" w:eastAsia="Calibri" w:hAnsi="Arial" w:cs="Arial"/>
          <w:iCs/>
          <w:lang w:val="en-US"/>
        </w:rPr>
        <w:t xml:space="preserve"> September 201</w:t>
      </w:r>
      <w:r>
        <w:rPr>
          <w:rFonts w:ascii="Arial" w:eastAsia="Calibri" w:hAnsi="Arial" w:cs="Arial"/>
          <w:iCs/>
          <w:lang w:val="en-US"/>
        </w:rPr>
        <w:t>8</w:t>
      </w:r>
    </w:p>
    <w:p w14:paraId="2B2DFB63" w14:textId="66C7A6FD" w:rsidR="004046F0" w:rsidRPr="00F575F4" w:rsidRDefault="004046F0" w:rsidP="004046F0">
      <w:pPr>
        <w:pStyle w:val="ARHeading2"/>
      </w:pPr>
      <w:bookmarkStart w:id="72" w:name="_Toc524709397"/>
      <w:r>
        <w:lastRenderedPageBreak/>
        <w:t>5.2</w:t>
      </w:r>
      <w:r>
        <w:tab/>
        <w:t>Financial Statements Index</w:t>
      </w:r>
      <w:bookmarkEnd w:id="72"/>
      <w:r w:rsidR="009E1A16">
        <w:br/>
      </w:r>
    </w:p>
    <w:tbl>
      <w:tblPr>
        <w:tblW w:w="10314" w:type="dxa"/>
        <w:tblLook w:val="04A0" w:firstRow="1" w:lastRow="0" w:firstColumn="1" w:lastColumn="0" w:noHBand="0" w:noVBand="1"/>
      </w:tblPr>
      <w:tblGrid>
        <w:gridCol w:w="1276"/>
        <w:gridCol w:w="9038"/>
      </w:tblGrid>
      <w:tr w:rsidR="004046F0" w:rsidRPr="00DD592E" w14:paraId="352C4E8C" w14:textId="77777777" w:rsidTr="004046F0">
        <w:tc>
          <w:tcPr>
            <w:tcW w:w="10314" w:type="dxa"/>
            <w:gridSpan w:val="2"/>
          </w:tcPr>
          <w:p w14:paraId="45FC6F37" w14:textId="77777777" w:rsidR="004046F0" w:rsidRDefault="004046F0" w:rsidP="004046F0">
            <w:pPr>
              <w:tabs>
                <w:tab w:val="left" w:pos="-1099"/>
                <w:tab w:val="left" w:pos="-720"/>
                <w:tab w:val="left" w:pos="0"/>
                <w:tab w:val="left" w:pos="720"/>
                <w:tab w:val="left" w:pos="1053"/>
              </w:tabs>
              <w:rPr>
                <w:rFonts w:ascii="Arial" w:hAnsi="Arial" w:cs="Arial"/>
                <w:sz w:val="20"/>
              </w:rPr>
            </w:pPr>
            <w:r>
              <w:rPr>
                <w:rFonts w:ascii="Arial" w:hAnsi="Arial" w:cs="Arial"/>
                <w:sz w:val="20"/>
              </w:rPr>
              <w:t>Statement of Comprehensive Income for the year ended 30 June 2018</w:t>
            </w:r>
          </w:p>
          <w:p w14:paraId="00436953" w14:textId="77777777" w:rsidR="004046F0" w:rsidRPr="00FF12A1" w:rsidRDefault="004046F0" w:rsidP="004046F0">
            <w:pPr>
              <w:tabs>
                <w:tab w:val="left" w:pos="-1099"/>
                <w:tab w:val="left" w:pos="-720"/>
                <w:tab w:val="left" w:pos="0"/>
                <w:tab w:val="left" w:pos="720"/>
                <w:tab w:val="left" w:pos="1053"/>
                <w:tab w:val="right" w:pos="8650"/>
              </w:tabs>
              <w:rPr>
                <w:rFonts w:ascii="Arial" w:hAnsi="Arial" w:cs="Arial"/>
                <w:sz w:val="20"/>
              </w:rPr>
            </w:pPr>
            <w:r>
              <w:rPr>
                <w:rFonts w:ascii="Arial" w:hAnsi="Arial" w:cs="Arial"/>
                <w:sz w:val="20"/>
              </w:rPr>
              <w:t>Balance Sheet as at 30 June 2018</w:t>
            </w:r>
          </w:p>
        </w:tc>
      </w:tr>
      <w:tr w:rsidR="004046F0" w:rsidRPr="00DD592E" w14:paraId="24122C09" w14:textId="77777777" w:rsidTr="004046F0">
        <w:tc>
          <w:tcPr>
            <w:tcW w:w="10314" w:type="dxa"/>
            <w:gridSpan w:val="2"/>
          </w:tcPr>
          <w:p w14:paraId="7FCE2FF1"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b/>
                <w:sz w:val="20"/>
              </w:rPr>
            </w:pPr>
            <w:r w:rsidRPr="00FF12A1">
              <w:rPr>
                <w:rFonts w:ascii="Arial" w:hAnsi="Arial" w:cs="Arial"/>
                <w:sz w:val="20"/>
              </w:rPr>
              <w:t>Statement of Changes in Equity for the year ended 30 June 201</w:t>
            </w:r>
            <w:r>
              <w:rPr>
                <w:rFonts w:ascii="Arial" w:hAnsi="Arial" w:cs="Arial"/>
                <w:sz w:val="20"/>
              </w:rPr>
              <w:t>8</w:t>
            </w:r>
          </w:p>
        </w:tc>
      </w:tr>
      <w:tr w:rsidR="004046F0" w:rsidRPr="00DD592E" w14:paraId="17C6424D" w14:textId="77777777" w:rsidTr="004046F0">
        <w:tc>
          <w:tcPr>
            <w:tcW w:w="10314" w:type="dxa"/>
            <w:gridSpan w:val="2"/>
          </w:tcPr>
          <w:p w14:paraId="683015EE"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b/>
                <w:sz w:val="20"/>
              </w:rPr>
            </w:pPr>
            <w:r w:rsidRPr="00FF12A1">
              <w:rPr>
                <w:rFonts w:ascii="Arial" w:hAnsi="Arial" w:cs="Arial"/>
                <w:sz w:val="20"/>
              </w:rPr>
              <w:t>Statement of Cash Flows for the year ended 30 June 201</w:t>
            </w:r>
            <w:r>
              <w:rPr>
                <w:rFonts w:ascii="Arial" w:hAnsi="Arial" w:cs="Arial"/>
                <w:sz w:val="20"/>
              </w:rPr>
              <w:t>8</w:t>
            </w:r>
          </w:p>
        </w:tc>
      </w:tr>
      <w:tr w:rsidR="004046F0" w:rsidRPr="00DD592E" w14:paraId="71045C92" w14:textId="77777777" w:rsidTr="004046F0">
        <w:tc>
          <w:tcPr>
            <w:tcW w:w="1276" w:type="dxa"/>
          </w:tcPr>
          <w:p w14:paraId="2BEA3A99"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 1</w:t>
            </w:r>
          </w:p>
        </w:tc>
        <w:tc>
          <w:tcPr>
            <w:tcW w:w="9038" w:type="dxa"/>
          </w:tcPr>
          <w:p w14:paraId="53D6C304"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About this Report</w:t>
            </w:r>
          </w:p>
        </w:tc>
      </w:tr>
      <w:tr w:rsidR="004046F0" w:rsidRPr="00DD592E" w14:paraId="3D9D2BF6" w14:textId="77777777" w:rsidTr="004046F0">
        <w:tc>
          <w:tcPr>
            <w:tcW w:w="1276" w:type="dxa"/>
          </w:tcPr>
          <w:p w14:paraId="4F60515D"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1.1</w:t>
            </w:r>
          </w:p>
          <w:p w14:paraId="3D1E2E3C"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1.2</w:t>
            </w:r>
          </w:p>
          <w:p w14:paraId="49E07848"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1.3</w:t>
            </w:r>
          </w:p>
          <w:p w14:paraId="43733CBF" w14:textId="77777777" w:rsidR="004046F0" w:rsidRDefault="004046F0" w:rsidP="004046F0">
            <w:pPr>
              <w:tabs>
                <w:tab w:val="left" w:pos="-1123"/>
                <w:tab w:val="left" w:pos="-720"/>
                <w:tab w:val="left" w:pos="0"/>
                <w:tab w:val="left" w:pos="720"/>
                <w:tab w:val="left" w:pos="1053"/>
              </w:tabs>
              <w:rPr>
                <w:rFonts w:ascii="Arial" w:hAnsi="Arial" w:cs="Arial"/>
                <w:sz w:val="20"/>
              </w:rPr>
            </w:pPr>
            <w:r>
              <w:rPr>
                <w:rFonts w:ascii="Arial" w:hAnsi="Arial" w:cs="Arial"/>
                <w:sz w:val="20"/>
              </w:rPr>
              <w:tab/>
            </w:r>
          </w:p>
          <w:p w14:paraId="36EE3604"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Pr>
                <w:rFonts w:ascii="Arial" w:hAnsi="Arial" w:cs="Arial"/>
                <w:sz w:val="20"/>
              </w:rPr>
              <w:tab/>
              <w:t>1.4</w:t>
            </w:r>
          </w:p>
        </w:tc>
        <w:tc>
          <w:tcPr>
            <w:tcW w:w="9038" w:type="dxa"/>
          </w:tcPr>
          <w:p w14:paraId="6B9B0DFE"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Statement of Compliance</w:t>
            </w:r>
          </w:p>
          <w:p w14:paraId="3674C19C"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Basis of Preparation</w:t>
            </w:r>
          </w:p>
          <w:p w14:paraId="38344CB9" w14:textId="77777777" w:rsidR="004046F0"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 xml:space="preserve">Disclosure of Prior Period Restatement, Changes in Presentation and Changes </w:t>
            </w:r>
          </w:p>
          <w:p w14:paraId="497020E2" w14:textId="77777777" w:rsidR="004046F0"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 Accounting Policy or Estimates</w:t>
            </w:r>
          </w:p>
          <w:p w14:paraId="6DAA6979" w14:textId="77777777" w:rsidR="004046F0" w:rsidRPr="00FF12A1" w:rsidRDefault="004046F0" w:rsidP="004046F0">
            <w:pPr>
              <w:tabs>
                <w:tab w:val="left" w:pos="-1123"/>
                <w:tab w:val="left" w:pos="-720"/>
                <w:tab w:val="left" w:pos="0"/>
                <w:tab w:val="left" w:pos="720"/>
                <w:tab w:val="left" w:pos="1053"/>
              </w:tabs>
              <w:rPr>
                <w:rFonts w:ascii="Arial" w:hAnsi="Arial" w:cs="Arial"/>
                <w:sz w:val="20"/>
              </w:rPr>
            </w:pPr>
            <w:r>
              <w:rPr>
                <w:rFonts w:ascii="Arial" w:hAnsi="Arial" w:cs="Arial"/>
                <w:sz w:val="20"/>
              </w:rPr>
              <w:t>Basis of Consolidation</w:t>
            </w:r>
          </w:p>
        </w:tc>
      </w:tr>
      <w:tr w:rsidR="004046F0" w:rsidRPr="00DD592E" w14:paraId="4F6CEDCC" w14:textId="77777777" w:rsidTr="004046F0">
        <w:tc>
          <w:tcPr>
            <w:tcW w:w="1276" w:type="dxa"/>
          </w:tcPr>
          <w:p w14:paraId="51AC5083"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 2</w:t>
            </w:r>
          </w:p>
        </w:tc>
        <w:tc>
          <w:tcPr>
            <w:tcW w:w="9038" w:type="dxa"/>
          </w:tcPr>
          <w:p w14:paraId="5A998AC1"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Insurance Activities</w:t>
            </w:r>
          </w:p>
        </w:tc>
      </w:tr>
      <w:tr w:rsidR="004046F0" w:rsidRPr="00DD592E" w14:paraId="2733F287" w14:textId="77777777" w:rsidTr="004046F0">
        <w:tc>
          <w:tcPr>
            <w:tcW w:w="1276" w:type="dxa"/>
          </w:tcPr>
          <w:p w14:paraId="20EB833A" w14:textId="77777777" w:rsidR="004046F0" w:rsidRPr="00FF12A1" w:rsidRDefault="004046F0" w:rsidP="004046F0">
            <w:pPr>
              <w:tabs>
                <w:tab w:val="left" w:pos="-1123"/>
                <w:tab w:val="left" w:pos="-720"/>
                <w:tab w:val="left" w:pos="0"/>
                <w:tab w:val="left" w:pos="720"/>
                <w:tab w:val="right" w:pos="8650"/>
              </w:tabs>
              <w:ind w:right="61"/>
              <w:jc w:val="right"/>
              <w:rPr>
                <w:rFonts w:ascii="Arial" w:hAnsi="Arial" w:cs="Arial"/>
                <w:sz w:val="20"/>
              </w:rPr>
            </w:pPr>
            <w:r>
              <w:rPr>
                <w:rFonts w:ascii="Arial" w:hAnsi="Arial" w:cs="Arial"/>
                <w:sz w:val="20"/>
              </w:rPr>
              <w:t>2.1</w:t>
            </w:r>
          </w:p>
          <w:p w14:paraId="061612ED"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2.2</w:t>
            </w:r>
          </w:p>
          <w:p w14:paraId="17E0D32F"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2.3</w:t>
            </w:r>
          </w:p>
          <w:p w14:paraId="271277AF"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2.4</w:t>
            </w:r>
          </w:p>
          <w:p w14:paraId="0A86449A"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2.5</w:t>
            </w:r>
          </w:p>
          <w:p w14:paraId="5C027B1F"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2.6</w:t>
            </w:r>
          </w:p>
          <w:p w14:paraId="663A306C"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2.7</w:t>
            </w:r>
          </w:p>
          <w:p w14:paraId="6160891B"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2.8</w:t>
            </w:r>
            <w:r>
              <w:rPr>
                <w:rFonts w:ascii="Arial" w:hAnsi="Arial" w:cs="Arial"/>
                <w:sz w:val="20"/>
              </w:rPr>
              <w:tab/>
            </w:r>
          </w:p>
        </w:tc>
        <w:tc>
          <w:tcPr>
            <w:tcW w:w="9038" w:type="dxa"/>
          </w:tcPr>
          <w:p w14:paraId="4F78C3E6"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Revenue</w:t>
            </w:r>
          </w:p>
          <w:p w14:paraId="67002864"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Expenses</w:t>
            </w:r>
          </w:p>
          <w:p w14:paraId="0C1A7C5E"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Net Claims Incurred</w:t>
            </w:r>
          </w:p>
          <w:p w14:paraId="6F21D52C"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Outstanding Claims</w:t>
            </w:r>
          </w:p>
          <w:p w14:paraId="7FFBED92"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Unearned Premium</w:t>
            </w:r>
          </w:p>
          <w:p w14:paraId="7ED5EC27"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Deferred Premium Collection Costs</w:t>
            </w:r>
          </w:p>
          <w:p w14:paraId="6FD18695"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Receivables</w:t>
            </w:r>
          </w:p>
          <w:p w14:paraId="5424EA0E"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Payables</w:t>
            </w:r>
          </w:p>
        </w:tc>
      </w:tr>
      <w:tr w:rsidR="004046F0" w:rsidRPr="00DD592E" w14:paraId="435725BE" w14:textId="77777777" w:rsidTr="004046F0">
        <w:tc>
          <w:tcPr>
            <w:tcW w:w="1276" w:type="dxa"/>
          </w:tcPr>
          <w:p w14:paraId="0EEBFDE9"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 3</w:t>
            </w:r>
          </w:p>
        </w:tc>
        <w:tc>
          <w:tcPr>
            <w:tcW w:w="9038" w:type="dxa"/>
          </w:tcPr>
          <w:p w14:paraId="0E789775"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Insurance Activities – Fund Level</w:t>
            </w:r>
          </w:p>
        </w:tc>
      </w:tr>
      <w:tr w:rsidR="004046F0" w:rsidRPr="00DD592E" w14:paraId="1FA7F98B" w14:textId="77777777" w:rsidTr="004046F0">
        <w:tc>
          <w:tcPr>
            <w:tcW w:w="1276" w:type="dxa"/>
          </w:tcPr>
          <w:p w14:paraId="014FB362" w14:textId="77777777" w:rsidR="004046F0" w:rsidRPr="00FF12A1" w:rsidRDefault="004046F0" w:rsidP="004046F0">
            <w:pPr>
              <w:tabs>
                <w:tab w:val="left" w:pos="-1123"/>
                <w:tab w:val="left" w:pos="-720"/>
                <w:tab w:val="left" w:pos="0"/>
                <w:tab w:val="left" w:pos="720"/>
                <w:tab w:val="right" w:pos="8650"/>
              </w:tabs>
              <w:ind w:right="61"/>
              <w:jc w:val="right"/>
              <w:rPr>
                <w:rFonts w:ascii="Arial" w:hAnsi="Arial" w:cs="Arial"/>
                <w:sz w:val="20"/>
              </w:rPr>
            </w:pPr>
            <w:r w:rsidRPr="00FF12A1">
              <w:rPr>
                <w:rFonts w:ascii="Arial" w:hAnsi="Arial" w:cs="Arial"/>
                <w:sz w:val="20"/>
              </w:rPr>
              <w:t>3.1</w:t>
            </w:r>
          </w:p>
          <w:p w14:paraId="69A16368" w14:textId="77777777" w:rsidR="004046F0" w:rsidRPr="00FF12A1" w:rsidRDefault="004046F0" w:rsidP="004046F0">
            <w:pPr>
              <w:tabs>
                <w:tab w:val="left" w:pos="-1123"/>
                <w:tab w:val="left" w:pos="-720"/>
                <w:tab w:val="left" w:pos="0"/>
                <w:tab w:val="left" w:pos="720"/>
                <w:tab w:val="right" w:pos="8650"/>
              </w:tabs>
              <w:ind w:right="61"/>
              <w:jc w:val="right"/>
              <w:rPr>
                <w:rFonts w:ascii="Arial" w:hAnsi="Arial" w:cs="Arial"/>
                <w:sz w:val="20"/>
              </w:rPr>
            </w:pPr>
            <w:r w:rsidRPr="00FF12A1">
              <w:rPr>
                <w:rFonts w:ascii="Arial" w:hAnsi="Arial" w:cs="Arial"/>
                <w:sz w:val="20"/>
              </w:rPr>
              <w:t>3.2</w:t>
            </w:r>
          </w:p>
          <w:p w14:paraId="6F6F7E72" w14:textId="77777777" w:rsidR="004046F0" w:rsidRPr="00FF12A1" w:rsidRDefault="004046F0" w:rsidP="004046F0">
            <w:pPr>
              <w:tabs>
                <w:tab w:val="left" w:pos="-1123"/>
                <w:tab w:val="left" w:pos="-720"/>
                <w:tab w:val="left" w:pos="0"/>
                <w:tab w:val="left" w:pos="720"/>
                <w:tab w:val="right" w:pos="8650"/>
              </w:tabs>
              <w:ind w:right="61"/>
              <w:jc w:val="right"/>
              <w:rPr>
                <w:rFonts w:ascii="Arial" w:hAnsi="Arial" w:cs="Arial"/>
                <w:sz w:val="20"/>
              </w:rPr>
            </w:pPr>
            <w:r w:rsidRPr="00FF12A1">
              <w:rPr>
                <w:rFonts w:ascii="Arial" w:hAnsi="Arial" w:cs="Arial"/>
                <w:sz w:val="20"/>
              </w:rPr>
              <w:t>3.3</w:t>
            </w:r>
          </w:p>
          <w:p w14:paraId="2352D5C6" w14:textId="77777777" w:rsidR="004046F0" w:rsidRPr="00FF12A1" w:rsidRDefault="004046F0" w:rsidP="004046F0">
            <w:pPr>
              <w:tabs>
                <w:tab w:val="left" w:pos="-1123"/>
                <w:tab w:val="left" w:pos="-720"/>
                <w:tab w:val="left" w:pos="0"/>
                <w:tab w:val="left" w:pos="720"/>
                <w:tab w:val="right" w:pos="8650"/>
              </w:tabs>
              <w:ind w:right="61"/>
              <w:jc w:val="right"/>
              <w:rPr>
                <w:rFonts w:ascii="Arial" w:hAnsi="Arial" w:cs="Arial"/>
                <w:sz w:val="20"/>
              </w:rPr>
            </w:pPr>
            <w:r w:rsidRPr="00FF12A1">
              <w:rPr>
                <w:rFonts w:ascii="Arial" w:hAnsi="Arial" w:cs="Arial"/>
                <w:sz w:val="20"/>
              </w:rPr>
              <w:t>3.4</w:t>
            </w:r>
          </w:p>
          <w:p w14:paraId="3BDFD83C" w14:textId="77777777" w:rsidR="004046F0" w:rsidRPr="00FF12A1" w:rsidRDefault="004046F0" w:rsidP="004046F0">
            <w:pPr>
              <w:tabs>
                <w:tab w:val="left" w:pos="-1123"/>
                <w:tab w:val="left" w:pos="-720"/>
                <w:tab w:val="left" w:pos="0"/>
                <w:tab w:val="left" w:pos="720"/>
                <w:tab w:val="right" w:pos="8650"/>
              </w:tabs>
              <w:ind w:right="61"/>
              <w:jc w:val="right"/>
              <w:rPr>
                <w:rFonts w:ascii="Arial" w:hAnsi="Arial" w:cs="Arial"/>
                <w:sz w:val="20"/>
              </w:rPr>
            </w:pPr>
            <w:r w:rsidRPr="00FF12A1">
              <w:rPr>
                <w:rFonts w:ascii="Arial" w:hAnsi="Arial" w:cs="Arial"/>
                <w:sz w:val="20"/>
              </w:rPr>
              <w:t>3.5</w:t>
            </w:r>
          </w:p>
          <w:p w14:paraId="15773E55" w14:textId="77777777" w:rsidR="004046F0" w:rsidRPr="00FF12A1" w:rsidRDefault="004046F0" w:rsidP="004046F0">
            <w:pPr>
              <w:tabs>
                <w:tab w:val="left" w:pos="-1123"/>
                <w:tab w:val="left" w:pos="-720"/>
                <w:tab w:val="left" w:pos="0"/>
                <w:tab w:val="left" w:pos="720"/>
                <w:tab w:val="right" w:pos="8650"/>
              </w:tabs>
              <w:ind w:right="61"/>
              <w:jc w:val="right"/>
              <w:rPr>
                <w:rFonts w:ascii="Arial" w:hAnsi="Arial" w:cs="Arial"/>
                <w:sz w:val="20"/>
              </w:rPr>
            </w:pPr>
            <w:r w:rsidRPr="00FF12A1">
              <w:rPr>
                <w:rFonts w:ascii="Arial" w:hAnsi="Arial" w:cs="Arial"/>
                <w:sz w:val="20"/>
              </w:rPr>
              <w:t>3.6</w:t>
            </w:r>
          </w:p>
        </w:tc>
        <w:tc>
          <w:tcPr>
            <w:tcW w:w="9038" w:type="dxa"/>
          </w:tcPr>
          <w:p w14:paraId="1A9EEFC3"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Third Party Insurance Fund</w:t>
            </w:r>
          </w:p>
          <w:p w14:paraId="5E60DE1C"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Motor Vehicle (Catastrophic Injuries) Fund</w:t>
            </w:r>
          </w:p>
          <w:p w14:paraId="4535C2F2"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Compensation (Industrial Diseases) Fund</w:t>
            </w:r>
          </w:p>
          <w:p w14:paraId="3A849189"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Government Insurance Fund</w:t>
            </w:r>
          </w:p>
          <w:p w14:paraId="0AD00386"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Insurance Commission General Fund</w:t>
            </w:r>
          </w:p>
          <w:p w14:paraId="6923DB7B"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RiskCover Fund</w:t>
            </w:r>
          </w:p>
        </w:tc>
      </w:tr>
      <w:tr w:rsidR="004046F0" w:rsidRPr="00DD592E" w14:paraId="599D5D46" w14:textId="77777777" w:rsidTr="004046F0">
        <w:tc>
          <w:tcPr>
            <w:tcW w:w="1276" w:type="dxa"/>
          </w:tcPr>
          <w:p w14:paraId="0A1D06A4"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 4</w:t>
            </w:r>
          </w:p>
        </w:tc>
        <w:tc>
          <w:tcPr>
            <w:tcW w:w="9038" w:type="dxa"/>
          </w:tcPr>
          <w:p w14:paraId="16947D73"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Investments</w:t>
            </w:r>
          </w:p>
        </w:tc>
      </w:tr>
      <w:tr w:rsidR="004046F0" w:rsidRPr="00DD592E" w14:paraId="15F0389B" w14:textId="77777777" w:rsidTr="004046F0">
        <w:tc>
          <w:tcPr>
            <w:tcW w:w="1276" w:type="dxa"/>
          </w:tcPr>
          <w:p w14:paraId="05101EA0"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4.1</w:t>
            </w:r>
          </w:p>
          <w:p w14:paraId="56738B95"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4.2</w:t>
            </w:r>
          </w:p>
          <w:p w14:paraId="29BEBA75"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4.3</w:t>
            </w:r>
          </w:p>
          <w:p w14:paraId="1503E07D"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4.4</w:t>
            </w:r>
          </w:p>
          <w:p w14:paraId="50C7E7E9" w14:textId="77777777" w:rsidR="004046F0"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ab/>
              <w:t>4.5</w:t>
            </w:r>
          </w:p>
          <w:p w14:paraId="2018C0F2"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Pr>
                <w:rFonts w:ascii="Arial" w:hAnsi="Arial" w:cs="Arial"/>
                <w:sz w:val="20"/>
              </w:rPr>
              <w:tab/>
              <w:t>4.6</w:t>
            </w:r>
          </w:p>
        </w:tc>
        <w:tc>
          <w:tcPr>
            <w:tcW w:w="9038" w:type="dxa"/>
          </w:tcPr>
          <w:p w14:paraId="70AEBB95"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Investment Income</w:t>
            </w:r>
          </w:p>
          <w:p w14:paraId="7A5F41C1"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Investment Expense</w:t>
            </w:r>
          </w:p>
          <w:p w14:paraId="336A886B"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Investment Assets</w:t>
            </w:r>
          </w:p>
          <w:p w14:paraId="19003BBA" w14:textId="77777777" w:rsidR="004046F0"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Financial Liabilities – RiskCover Investments</w:t>
            </w:r>
          </w:p>
          <w:p w14:paraId="390013A8"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Pr>
                <w:rFonts w:ascii="Arial" w:hAnsi="Arial" w:cs="Arial"/>
                <w:sz w:val="20"/>
              </w:rPr>
              <w:t>Investment Commitments</w:t>
            </w:r>
          </w:p>
          <w:p w14:paraId="52FED9A4"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Financial Instruments</w:t>
            </w:r>
          </w:p>
        </w:tc>
      </w:tr>
      <w:tr w:rsidR="004046F0" w:rsidRPr="00DD592E" w14:paraId="09E61522" w14:textId="77777777" w:rsidTr="004046F0">
        <w:tc>
          <w:tcPr>
            <w:tcW w:w="1276" w:type="dxa"/>
          </w:tcPr>
          <w:p w14:paraId="3BB8457C"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 5</w:t>
            </w:r>
          </w:p>
        </w:tc>
        <w:tc>
          <w:tcPr>
            <w:tcW w:w="9038" w:type="dxa"/>
          </w:tcPr>
          <w:p w14:paraId="274E8236"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Property</w:t>
            </w:r>
          </w:p>
        </w:tc>
      </w:tr>
      <w:tr w:rsidR="004046F0" w:rsidRPr="00DD592E" w14:paraId="50392076" w14:textId="77777777" w:rsidTr="004046F0">
        <w:tc>
          <w:tcPr>
            <w:tcW w:w="1276" w:type="dxa"/>
          </w:tcPr>
          <w:p w14:paraId="5AC55FB7" w14:textId="77777777" w:rsidR="004046F0" w:rsidRPr="00FF12A1" w:rsidRDefault="004046F0" w:rsidP="004046F0">
            <w:pPr>
              <w:tabs>
                <w:tab w:val="left" w:pos="-1123"/>
                <w:tab w:val="left" w:pos="-720"/>
                <w:tab w:val="left" w:pos="0"/>
                <w:tab w:val="left" w:pos="720"/>
                <w:tab w:val="right" w:pos="8650"/>
              </w:tabs>
              <w:ind w:right="61"/>
              <w:rPr>
                <w:rFonts w:ascii="Arial" w:hAnsi="Arial" w:cs="Arial"/>
                <w:sz w:val="20"/>
              </w:rPr>
            </w:pPr>
            <w:r>
              <w:rPr>
                <w:rFonts w:ascii="Arial" w:hAnsi="Arial" w:cs="Arial"/>
                <w:sz w:val="20"/>
              </w:rPr>
              <w:tab/>
              <w:t>5.1</w:t>
            </w:r>
          </w:p>
        </w:tc>
        <w:tc>
          <w:tcPr>
            <w:tcW w:w="9038" w:type="dxa"/>
          </w:tcPr>
          <w:p w14:paraId="60F5C951"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Investment Property</w:t>
            </w:r>
          </w:p>
        </w:tc>
      </w:tr>
      <w:tr w:rsidR="004046F0" w:rsidRPr="00DD592E" w14:paraId="303DA8A5" w14:textId="77777777" w:rsidTr="004046F0">
        <w:tc>
          <w:tcPr>
            <w:tcW w:w="1276" w:type="dxa"/>
          </w:tcPr>
          <w:p w14:paraId="3A9F2842"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 6</w:t>
            </w:r>
          </w:p>
        </w:tc>
        <w:tc>
          <w:tcPr>
            <w:tcW w:w="9038" w:type="dxa"/>
          </w:tcPr>
          <w:p w14:paraId="06D83A35"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Risk Management</w:t>
            </w:r>
          </w:p>
        </w:tc>
      </w:tr>
      <w:tr w:rsidR="004046F0" w:rsidRPr="00DD592E" w14:paraId="79A74C17" w14:textId="77777777" w:rsidTr="004046F0">
        <w:tc>
          <w:tcPr>
            <w:tcW w:w="1276" w:type="dxa"/>
          </w:tcPr>
          <w:p w14:paraId="487B8DEB"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6.1</w:t>
            </w:r>
          </w:p>
          <w:p w14:paraId="47005141"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6.2</w:t>
            </w:r>
          </w:p>
          <w:p w14:paraId="7239FF21"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6.3</w:t>
            </w:r>
          </w:p>
        </w:tc>
        <w:tc>
          <w:tcPr>
            <w:tcW w:w="9038" w:type="dxa"/>
          </w:tcPr>
          <w:p w14:paraId="35FD90FF"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Overview</w:t>
            </w:r>
          </w:p>
          <w:p w14:paraId="5BB051CA"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Insurance Risk Management</w:t>
            </w:r>
          </w:p>
          <w:p w14:paraId="163E9358"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Financial Risk Management</w:t>
            </w:r>
          </w:p>
        </w:tc>
      </w:tr>
      <w:tr w:rsidR="004046F0" w:rsidRPr="00DD592E" w14:paraId="651FA449" w14:textId="77777777" w:rsidTr="004046F0">
        <w:tc>
          <w:tcPr>
            <w:tcW w:w="1276" w:type="dxa"/>
          </w:tcPr>
          <w:p w14:paraId="221F063E"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 7</w:t>
            </w:r>
          </w:p>
        </w:tc>
        <w:tc>
          <w:tcPr>
            <w:tcW w:w="9038" w:type="dxa"/>
          </w:tcPr>
          <w:p w14:paraId="1B3F43FB"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Tax</w:t>
            </w:r>
          </w:p>
        </w:tc>
      </w:tr>
      <w:tr w:rsidR="004046F0" w:rsidRPr="00DD592E" w14:paraId="5EAE85AC" w14:textId="77777777" w:rsidTr="004046F0">
        <w:tc>
          <w:tcPr>
            <w:tcW w:w="1276" w:type="dxa"/>
          </w:tcPr>
          <w:p w14:paraId="09EE75E4"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7.1</w:t>
            </w:r>
          </w:p>
          <w:p w14:paraId="1C2D587D"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7.2</w:t>
            </w:r>
          </w:p>
        </w:tc>
        <w:tc>
          <w:tcPr>
            <w:tcW w:w="9038" w:type="dxa"/>
          </w:tcPr>
          <w:p w14:paraId="12A870C8"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Income Tax Equivalent</w:t>
            </w:r>
          </w:p>
          <w:p w14:paraId="62FB5310"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Deferred Tax Equivalent</w:t>
            </w:r>
          </w:p>
        </w:tc>
      </w:tr>
      <w:tr w:rsidR="004046F0" w:rsidRPr="00DD592E" w14:paraId="34D668CF" w14:textId="77777777" w:rsidTr="004046F0">
        <w:tc>
          <w:tcPr>
            <w:tcW w:w="1276" w:type="dxa"/>
          </w:tcPr>
          <w:p w14:paraId="684AF0CC"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 8</w:t>
            </w:r>
          </w:p>
        </w:tc>
        <w:tc>
          <w:tcPr>
            <w:tcW w:w="9038" w:type="dxa"/>
          </w:tcPr>
          <w:p w14:paraId="1E04AFBB"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Explanatory Statement</w:t>
            </w:r>
          </w:p>
        </w:tc>
      </w:tr>
      <w:tr w:rsidR="004046F0" w:rsidRPr="00DD592E" w14:paraId="12947E81" w14:textId="77777777" w:rsidTr="004046F0">
        <w:tc>
          <w:tcPr>
            <w:tcW w:w="1276" w:type="dxa"/>
          </w:tcPr>
          <w:p w14:paraId="207F98CE"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 9</w:t>
            </w:r>
          </w:p>
        </w:tc>
        <w:tc>
          <w:tcPr>
            <w:tcW w:w="9038" w:type="dxa"/>
          </w:tcPr>
          <w:p w14:paraId="5A15D4E0"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Other</w:t>
            </w:r>
          </w:p>
        </w:tc>
      </w:tr>
      <w:tr w:rsidR="004046F0" w:rsidRPr="00DD592E" w14:paraId="47CFDA53" w14:textId="77777777" w:rsidTr="004046F0">
        <w:tc>
          <w:tcPr>
            <w:tcW w:w="1276" w:type="dxa"/>
          </w:tcPr>
          <w:p w14:paraId="65C5C845"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9.1</w:t>
            </w:r>
          </w:p>
          <w:p w14:paraId="6FA0DBC0"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9.2</w:t>
            </w:r>
          </w:p>
          <w:p w14:paraId="091B490B"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9.3</w:t>
            </w:r>
          </w:p>
          <w:p w14:paraId="76CDDADF"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9.4</w:t>
            </w:r>
          </w:p>
          <w:p w14:paraId="52529FD6"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9.5</w:t>
            </w:r>
          </w:p>
          <w:p w14:paraId="46CAB447"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9.6</w:t>
            </w:r>
          </w:p>
          <w:p w14:paraId="6972D1F8"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9.7</w:t>
            </w:r>
          </w:p>
          <w:p w14:paraId="74EE108D"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9.8</w:t>
            </w:r>
          </w:p>
          <w:p w14:paraId="6BFDDBEB"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9.9</w:t>
            </w:r>
          </w:p>
          <w:p w14:paraId="04EAB964"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9.10</w:t>
            </w:r>
          </w:p>
          <w:p w14:paraId="3BD6DDE9"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9.11</w:t>
            </w:r>
          </w:p>
          <w:p w14:paraId="3D0C1068"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9.12</w:t>
            </w:r>
          </w:p>
          <w:p w14:paraId="12DE3AAE" w14:textId="77777777" w:rsidR="004046F0" w:rsidRPr="00FF12A1" w:rsidRDefault="004046F0" w:rsidP="004046F0">
            <w:pPr>
              <w:tabs>
                <w:tab w:val="left" w:pos="-1123"/>
                <w:tab w:val="left" w:pos="-720"/>
                <w:tab w:val="left" w:pos="0"/>
                <w:tab w:val="left" w:pos="720"/>
                <w:tab w:val="right" w:pos="8650"/>
              </w:tabs>
              <w:ind w:right="67"/>
              <w:jc w:val="right"/>
              <w:rPr>
                <w:rFonts w:ascii="Arial" w:hAnsi="Arial" w:cs="Arial"/>
                <w:sz w:val="20"/>
              </w:rPr>
            </w:pPr>
            <w:r w:rsidRPr="00FF12A1">
              <w:rPr>
                <w:rFonts w:ascii="Arial" w:hAnsi="Arial" w:cs="Arial"/>
                <w:sz w:val="20"/>
              </w:rPr>
              <w:t>9.13</w:t>
            </w:r>
          </w:p>
        </w:tc>
        <w:tc>
          <w:tcPr>
            <w:tcW w:w="9038" w:type="dxa"/>
          </w:tcPr>
          <w:p w14:paraId="727DD0F7"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Other Accounting Policies</w:t>
            </w:r>
          </w:p>
          <w:p w14:paraId="5FC696EE"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 xml:space="preserve">Other Income </w:t>
            </w:r>
          </w:p>
          <w:p w14:paraId="60990465"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Plant and Equipment</w:t>
            </w:r>
          </w:p>
          <w:p w14:paraId="694A9205"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Intangibles</w:t>
            </w:r>
          </w:p>
          <w:p w14:paraId="6CD0C944"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Contingen</w:t>
            </w:r>
            <w:r>
              <w:rPr>
                <w:rFonts w:ascii="Arial" w:hAnsi="Arial" w:cs="Arial"/>
                <w:sz w:val="20"/>
              </w:rPr>
              <w:t xml:space="preserve">cies </w:t>
            </w:r>
            <w:r w:rsidRPr="00FF12A1">
              <w:rPr>
                <w:rFonts w:ascii="Arial" w:hAnsi="Arial" w:cs="Arial"/>
                <w:sz w:val="20"/>
              </w:rPr>
              <w:t>(Bell)</w:t>
            </w:r>
          </w:p>
          <w:p w14:paraId="20C634C9"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Provisions</w:t>
            </w:r>
          </w:p>
          <w:p w14:paraId="6EE3B8E4"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Dividends</w:t>
            </w:r>
          </w:p>
          <w:p w14:paraId="3138F3AC"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Notes to the Statement of Cash Flows</w:t>
            </w:r>
          </w:p>
          <w:p w14:paraId="70E8D63D"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Expenditure Commitments</w:t>
            </w:r>
          </w:p>
          <w:p w14:paraId="2F6FCA50"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Compensation of Key Management Personnel</w:t>
            </w:r>
          </w:p>
          <w:p w14:paraId="6EB1251E"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Related Parties</w:t>
            </w:r>
          </w:p>
          <w:p w14:paraId="1CE9E9BC"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Loss</w:t>
            </w:r>
            <w:r>
              <w:rPr>
                <w:rFonts w:ascii="Arial" w:hAnsi="Arial" w:cs="Arial"/>
                <w:sz w:val="20"/>
              </w:rPr>
              <w:t xml:space="preserve"> </w:t>
            </w:r>
            <w:r w:rsidRPr="00FF12A1">
              <w:rPr>
                <w:rFonts w:ascii="Arial" w:hAnsi="Arial" w:cs="Arial"/>
                <w:sz w:val="20"/>
              </w:rPr>
              <w:t>Through Theft, Default and Other Causes</w:t>
            </w:r>
          </w:p>
          <w:p w14:paraId="54B89242" w14:textId="77777777" w:rsidR="004046F0" w:rsidRPr="00FF12A1" w:rsidRDefault="004046F0" w:rsidP="004046F0">
            <w:pPr>
              <w:tabs>
                <w:tab w:val="left" w:pos="-1123"/>
                <w:tab w:val="left" w:pos="-720"/>
                <w:tab w:val="left" w:pos="0"/>
                <w:tab w:val="left" w:pos="720"/>
                <w:tab w:val="left" w:pos="1053"/>
                <w:tab w:val="right" w:pos="8650"/>
              </w:tabs>
              <w:rPr>
                <w:rFonts w:ascii="Arial" w:hAnsi="Arial" w:cs="Arial"/>
                <w:sz w:val="20"/>
              </w:rPr>
            </w:pPr>
            <w:r w:rsidRPr="00FF12A1">
              <w:rPr>
                <w:rFonts w:ascii="Arial" w:hAnsi="Arial" w:cs="Arial"/>
                <w:sz w:val="20"/>
              </w:rPr>
              <w:t>Events Occurring After the Reporting Period</w:t>
            </w:r>
          </w:p>
        </w:tc>
      </w:tr>
    </w:tbl>
    <w:p w14:paraId="6B3CF71A" w14:textId="77777777" w:rsidR="009E1A16" w:rsidRPr="00E56E65" w:rsidRDefault="009E1A16" w:rsidP="009E1A16">
      <w:pPr>
        <w:pStyle w:val="ARHeading1"/>
      </w:pPr>
      <w:bookmarkStart w:id="73" w:name="_Toc458802746"/>
      <w:bookmarkStart w:id="74" w:name="_Toc524709398"/>
      <w:r w:rsidRPr="00E56E65">
        <w:lastRenderedPageBreak/>
        <w:t>6.</w:t>
      </w:r>
      <w:r w:rsidRPr="00E56E65">
        <w:tab/>
        <w:t>Disclosures and Legal Compliance</w:t>
      </w:r>
      <w:bookmarkEnd w:id="73"/>
      <w:bookmarkEnd w:id="74"/>
      <w:r w:rsidRPr="00E56E65">
        <w:t xml:space="preserve"> </w:t>
      </w:r>
    </w:p>
    <w:p w14:paraId="1CE09C14" w14:textId="77777777" w:rsidR="009E1A16" w:rsidRDefault="009E1A16" w:rsidP="009E1A16">
      <w:pPr>
        <w:rPr>
          <w:rFonts w:ascii="Arial" w:hAnsi="Arial" w:cs="Arial"/>
          <w:b/>
          <w:bCs/>
          <w:iCs/>
        </w:rPr>
      </w:pPr>
      <w:bookmarkStart w:id="75" w:name="_Toc390680596"/>
      <w:bookmarkStart w:id="76" w:name="_Toc458802747"/>
    </w:p>
    <w:p w14:paraId="6FD07A03" w14:textId="77777777" w:rsidR="009E1A16" w:rsidRPr="00E56E65" w:rsidRDefault="009E1A16" w:rsidP="009E1A16">
      <w:pPr>
        <w:pStyle w:val="ARHeading2"/>
      </w:pPr>
      <w:bookmarkStart w:id="77" w:name="_Toc524709399"/>
      <w:r w:rsidRPr="00E56E65">
        <w:t>6.1</w:t>
      </w:r>
      <w:r w:rsidRPr="00E56E65">
        <w:tab/>
        <w:t>Ministerial Directions</w:t>
      </w:r>
      <w:bookmarkEnd w:id="75"/>
      <w:bookmarkEnd w:id="76"/>
      <w:bookmarkEnd w:id="77"/>
    </w:p>
    <w:p w14:paraId="2BE5C19F" w14:textId="77777777" w:rsidR="009E1A16" w:rsidRPr="00E56E65" w:rsidRDefault="009E1A16" w:rsidP="009E1A16">
      <w:pPr>
        <w:rPr>
          <w:rFonts w:ascii="Arial" w:hAnsi="Arial" w:cs="Arial"/>
        </w:rPr>
      </w:pPr>
      <w:r w:rsidRPr="00E56E65">
        <w:rPr>
          <w:rFonts w:ascii="Arial" w:hAnsi="Arial" w:cs="Arial"/>
        </w:rPr>
        <w:t xml:space="preserve">No Ministerial directions were received during the year. </w:t>
      </w:r>
    </w:p>
    <w:p w14:paraId="2841C668" w14:textId="77777777" w:rsidR="009E1A16" w:rsidRPr="00214A2E" w:rsidRDefault="009E1A16" w:rsidP="009E1A16">
      <w:pPr>
        <w:rPr>
          <w:rFonts w:ascii="Arial" w:hAnsi="Arial" w:cs="Arial"/>
          <w:b/>
        </w:rPr>
      </w:pPr>
    </w:p>
    <w:p w14:paraId="7E654EDB" w14:textId="77777777" w:rsidR="009E1A16" w:rsidRPr="00E56E65" w:rsidRDefault="009E1A16" w:rsidP="009E1A16">
      <w:pPr>
        <w:pStyle w:val="ARHeading2"/>
      </w:pPr>
      <w:bookmarkStart w:id="78" w:name="_Toc390680597"/>
      <w:bookmarkStart w:id="79" w:name="_Toc458802748"/>
      <w:bookmarkStart w:id="80" w:name="_Toc524709400"/>
      <w:r w:rsidRPr="00E56E65">
        <w:t>6.2</w:t>
      </w:r>
      <w:r w:rsidRPr="00E56E65">
        <w:tab/>
        <w:t>Other Financial Disclosures</w:t>
      </w:r>
      <w:bookmarkEnd w:id="78"/>
      <w:bookmarkEnd w:id="79"/>
      <w:bookmarkEnd w:id="80"/>
    </w:p>
    <w:p w14:paraId="0F8F27EA" w14:textId="77777777" w:rsidR="009E1A16" w:rsidRDefault="009E1A16" w:rsidP="009E1A16">
      <w:pPr>
        <w:rPr>
          <w:rFonts w:ascii="Arial" w:hAnsi="Arial" w:cs="Arial"/>
          <w:b/>
          <w:sz w:val="28"/>
          <w:szCs w:val="28"/>
        </w:rPr>
      </w:pPr>
      <w:bookmarkStart w:id="81" w:name="_Toc390680598"/>
    </w:p>
    <w:p w14:paraId="01FAF555" w14:textId="77777777" w:rsidR="009E1A16" w:rsidRPr="00E56E65" w:rsidRDefault="009E1A16" w:rsidP="009E1A16">
      <w:pPr>
        <w:pStyle w:val="ARHeading3"/>
      </w:pPr>
      <w:r w:rsidRPr="00E56E65">
        <w:t>6.2.1</w:t>
      </w:r>
      <w:r w:rsidRPr="00E56E65">
        <w:tab/>
        <w:t xml:space="preserve">Pricing Policies </w:t>
      </w:r>
      <w:bookmarkEnd w:id="81"/>
    </w:p>
    <w:p w14:paraId="13A26FA2" w14:textId="77777777" w:rsidR="009E1A16" w:rsidRPr="00E56E65" w:rsidRDefault="009E1A16" w:rsidP="009E1A16">
      <w:pPr>
        <w:rPr>
          <w:rFonts w:ascii="Arial" w:hAnsi="Arial" w:cs="Arial"/>
        </w:rPr>
      </w:pPr>
      <w:r w:rsidRPr="00E56E65">
        <w:rPr>
          <w:rFonts w:ascii="Arial" w:hAnsi="Arial" w:cs="Arial"/>
        </w:rPr>
        <w:t>The pricing philosophy for the Insurance Commission and RiskCover is based on regular WA inflation-linked average weekly earnings increases. Average weekly earnings is the most relevant index for motor injury insurance and workers’ compensation schemes as the majority of claims costs (i.e. claims for loss of income, medical and allied health costs) are directly linked to wage inflation.</w:t>
      </w:r>
    </w:p>
    <w:p w14:paraId="59A164B5" w14:textId="77777777" w:rsidR="009E1A16" w:rsidRPr="00214A2E" w:rsidRDefault="009E1A16" w:rsidP="009E1A16">
      <w:pPr>
        <w:rPr>
          <w:rFonts w:ascii="Arial" w:hAnsi="Arial" w:cs="Arial"/>
          <w:b/>
        </w:rPr>
      </w:pPr>
    </w:p>
    <w:p w14:paraId="0A80CE04" w14:textId="145E1AE5" w:rsidR="009E1A16" w:rsidRPr="009E1A16" w:rsidRDefault="009E1A16" w:rsidP="009E1A16">
      <w:pPr>
        <w:pStyle w:val="ARHeading3"/>
        <w:rPr>
          <w:lang w:val="en-US"/>
        </w:rPr>
      </w:pPr>
      <w:r w:rsidRPr="00214A2E">
        <w:rPr>
          <w:lang w:val="en-US"/>
        </w:rPr>
        <w:t>Motor Injury Insurance</w:t>
      </w:r>
    </w:p>
    <w:p w14:paraId="0A6C19F1" w14:textId="77777777" w:rsidR="009E1A16" w:rsidRPr="00E56E65" w:rsidRDefault="009E1A16" w:rsidP="009E1A16">
      <w:pPr>
        <w:rPr>
          <w:rFonts w:ascii="Arial" w:hAnsi="Arial" w:cs="Arial"/>
        </w:rPr>
      </w:pPr>
      <w:r w:rsidRPr="00E56E65">
        <w:rPr>
          <w:rFonts w:ascii="Arial" w:hAnsi="Arial" w:cs="Arial"/>
        </w:rPr>
        <w:t>Each financial year, the Insurance Commission makes an assessment of the extent to which premium revenue, together with other income expected to be received, will be sufficient to meet the claims costs and other expenses anticipated to arise or be incurred.</w:t>
      </w:r>
    </w:p>
    <w:p w14:paraId="702BE5A6" w14:textId="77777777" w:rsidR="009E1A16" w:rsidRPr="00E56E65" w:rsidRDefault="009E1A16" w:rsidP="009E1A16">
      <w:pPr>
        <w:rPr>
          <w:rFonts w:ascii="Arial" w:hAnsi="Arial" w:cs="Arial"/>
        </w:rPr>
      </w:pPr>
    </w:p>
    <w:p w14:paraId="5F160CDC" w14:textId="77777777" w:rsidR="009E1A16" w:rsidRPr="00E56E65" w:rsidRDefault="009E1A16" w:rsidP="009E1A16">
      <w:pPr>
        <w:rPr>
          <w:rFonts w:ascii="Arial" w:hAnsi="Arial" w:cs="Arial"/>
        </w:rPr>
      </w:pPr>
      <w:r>
        <w:rPr>
          <w:rFonts w:ascii="Arial" w:hAnsi="Arial" w:cs="Arial"/>
        </w:rPr>
        <w:t>From 1 July 2018</w:t>
      </w:r>
      <w:r w:rsidRPr="00E56E65">
        <w:rPr>
          <w:rFonts w:ascii="Arial" w:hAnsi="Arial" w:cs="Arial"/>
        </w:rPr>
        <w:t>, motor injury insuranc</w:t>
      </w:r>
      <w:r>
        <w:rPr>
          <w:rFonts w:ascii="Arial" w:hAnsi="Arial" w:cs="Arial"/>
        </w:rPr>
        <w:t>e premium rates increased by 2.4</w:t>
      </w:r>
      <w:r w:rsidRPr="00E56E65">
        <w:rPr>
          <w:rFonts w:ascii="Arial" w:hAnsi="Arial" w:cs="Arial"/>
        </w:rPr>
        <w:t>%. The increase responds to cost pressures on claims expenses in the CTP and CIS schemes, and is in line with wage inflation</w:t>
      </w:r>
      <w:r>
        <w:rPr>
          <w:rFonts w:ascii="Arial" w:hAnsi="Arial" w:cs="Arial"/>
        </w:rPr>
        <w:t xml:space="preserve"> forecasts</w:t>
      </w:r>
      <w:r w:rsidRPr="00E56E65">
        <w:rPr>
          <w:rFonts w:ascii="Arial" w:hAnsi="Arial" w:cs="Arial"/>
        </w:rPr>
        <w:t xml:space="preserve">. </w:t>
      </w:r>
    </w:p>
    <w:p w14:paraId="6BF841FD" w14:textId="77777777" w:rsidR="009E1A16" w:rsidRPr="00E56E65" w:rsidRDefault="009E1A16" w:rsidP="009E1A16">
      <w:pPr>
        <w:rPr>
          <w:rFonts w:ascii="Arial" w:hAnsi="Arial" w:cs="Arial"/>
        </w:rPr>
      </w:pPr>
    </w:p>
    <w:p w14:paraId="2E088098" w14:textId="77777777" w:rsidR="009E1A16" w:rsidRPr="00E56E65" w:rsidRDefault="009E1A16" w:rsidP="009E1A16">
      <w:pPr>
        <w:rPr>
          <w:rFonts w:ascii="Arial" w:hAnsi="Arial" w:cs="Arial"/>
        </w:rPr>
      </w:pPr>
      <w:r w:rsidRPr="00E56E65">
        <w:rPr>
          <w:rFonts w:ascii="Arial" w:hAnsi="Arial" w:cs="Arial"/>
        </w:rPr>
        <w:t>Following this change, the annual cost of motor injury insurance in Western Australia for</w:t>
      </w:r>
      <w:r>
        <w:rPr>
          <w:rFonts w:ascii="Arial" w:hAnsi="Arial" w:cs="Arial"/>
        </w:rPr>
        <w:t xml:space="preserve"> a family vehicle at 1 July 2018 was $43</w:t>
      </w:r>
      <w:r w:rsidRPr="00E56E65">
        <w:rPr>
          <w:rFonts w:ascii="Arial" w:hAnsi="Arial" w:cs="Arial"/>
        </w:rPr>
        <w:t>1.</w:t>
      </w:r>
    </w:p>
    <w:p w14:paraId="173A2076" w14:textId="77777777" w:rsidR="009E1A16" w:rsidRPr="00214A2E" w:rsidRDefault="009E1A16" w:rsidP="009E1A16">
      <w:pPr>
        <w:rPr>
          <w:rFonts w:ascii="Arial" w:hAnsi="Arial" w:cs="Arial"/>
          <w:b/>
        </w:rPr>
      </w:pPr>
      <w:r>
        <w:rPr>
          <w:rFonts w:ascii="Arial" w:hAnsi="Arial" w:cs="Arial"/>
          <w:b/>
        </w:rPr>
        <w:t xml:space="preserve"> </w:t>
      </w:r>
    </w:p>
    <w:p w14:paraId="7FDE4586" w14:textId="793A74A4" w:rsidR="009E1A16" w:rsidRPr="009E1A16" w:rsidRDefault="009E1A16" w:rsidP="009E1A16">
      <w:pPr>
        <w:pStyle w:val="ARHeading3"/>
        <w:rPr>
          <w:lang w:val="en-US"/>
        </w:rPr>
      </w:pPr>
      <w:r w:rsidRPr="00214A2E">
        <w:rPr>
          <w:lang w:val="en-US"/>
        </w:rPr>
        <w:t xml:space="preserve">RiskCover </w:t>
      </w:r>
    </w:p>
    <w:p w14:paraId="0D1E1746" w14:textId="77777777" w:rsidR="009E1A16" w:rsidRPr="00E56E65" w:rsidRDefault="009E1A16" w:rsidP="009E1A16">
      <w:pPr>
        <w:rPr>
          <w:rFonts w:ascii="Arial" w:hAnsi="Arial" w:cs="Arial"/>
        </w:rPr>
      </w:pPr>
      <w:r w:rsidRPr="00E56E65">
        <w:rPr>
          <w:rFonts w:ascii="Arial" w:hAnsi="Arial" w:cs="Arial"/>
        </w:rPr>
        <w:t xml:space="preserve">Fund contributions are set to ensure sufficient funds are collected to pay liabilities and administration costs. Individual contributions are determined by agency per class of business. </w:t>
      </w:r>
    </w:p>
    <w:p w14:paraId="566F99FE" w14:textId="77777777" w:rsidR="009E1A16" w:rsidRPr="00E56E65" w:rsidRDefault="009E1A16" w:rsidP="009E1A16">
      <w:pPr>
        <w:rPr>
          <w:rFonts w:ascii="Arial" w:hAnsi="Arial" w:cs="Arial"/>
        </w:rPr>
      </w:pPr>
    </w:p>
    <w:p w14:paraId="12737CA5" w14:textId="77777777" w:rsidR="009E1A16" w:rsidRPr="00E56E65" w:rsidRDefault="009E1A16" w:rsidP="009E1A16">
      <w:pPr>
        <w:rPr>
          <w:rFonts w:ascii="Arial" w:hAnsi="Arial" w:cs="Arial"/>
        </w:rPr>
      </w:pPr>
      <w:r w:rsidRPr="00E56E65">
        <w:rPr>
          <w:rFonts w:ascii="Arial" w:hAnsi="Arial" w:cs="Arial"/>
        </w:rPr>
        <w:t>The key outcomes that RiskCover aim</w:t>
      </w:r>
      <w:r>
        <w:rPr>
          <w:rFonts w:ascii="Arial" w:hAnsi="Arial" w:cs="Arial"/>
        </w:rPr>
        <w:t>s</w:t>
      </w:r>
      <w:r w:rsidRPr="00E56E65">
        <w:rPr>
          <w:rFonts w:ascii="Arial" w:hAnsi="Arial" w:cs="Arial"/>
        </w:rPr>
        <w:t xml:space="preserve"> to achieve in setting agency contributions are:</w:t>
      </w:r>
    </w:p>
    <w:p w14:paraId="73817179" w14:textId="77777777" w:rsidR="009E1A16" w:rsidRPr="00E56E65" w:rsidRDefault="009E1A16" w:rsidP="009E1A16">
      <w:pPr>
        <w:numPr>
          <w:ilvl w:val="0"/>
          <w:numId w:val="17"/>
        </w:numPr>
        <w:rPr>
          <w:rFonts w:ascii="Arial" w:hAnsi="Arial" w:cs="Arial"/>
        </w:rPr>
      </w:pPr>
      <w:r w:rsidRPr="00E56E65">
        <w:rPr>
          <w:rFonts w:ascii="Arial" w:hAnsi="Arial" w:cs="Arial"/>
        </w:rPr>
        <w:t xml:space="preserve">equity for </w:t>
      </w:r>
      <w:r>
        <w:rPr>
          <w:rFonts w:ascii="Arial" w:hAnsi="Arial" w:cs="Arial"/>
        </w:rPr>
        <w:t>insured agencies</w:t>
      </w:r>
      <w:r w:rsidRPr="00E56E65">
        <w:rPr>
          <w:rFonts w:ascii="Arial" w:hAnsi="Arial" w:cs="Arial"/>
        </w:rPr>
        <w:t>;</w:t>
      </w:r>
    </w:p>
    <w:p w14:paraId="47EB1D40" w14:textId="77777777" w:rsidR="009E1A16" w:rsidRPr="00E56E65" w:rsidRDefault="009E1A16" w:rsidP="009E1A16">
      <w:pPr>
        <w:numPr>
          <w:ilvl w:val="0"/>
          <w:numId w:val="17"/>
        </w:numPr>
        <w:rPr>
          <w:rFonts w:ascii="Arial" w:hAnsi="Arial" w:cs="Arial"/>
        </w:rPr>
      </w:pPr>
      <w:r w:rsidRPr="00E56E65">
        <w:rPr>
          <w:rFonts w:ascii="Arial" w:hAnsi="Arial" w:cs="Arial"/>
        </w:rPr>
        <w:t>transparency in the fund contribution methodology;</w:t>
      </w:r>
    </w:p>
    <w:p w14:paraId="21CE087A" w14:textId="77777777" w:rsidR="009E1A16" w:rsidRPr="00E56E65" w:rsidRDefault="009E1A16" w:rsidP="009E1A16">
      <w:pPr>
        <w:numPr>
          <w:ilvl w:val="0"/>
          <w:numId w:val="17"/>
        </w:numPr>
        <w:rPr>
          <w:rFonts w:ascii="Arial" w:hAnsi="Arial" w:cs="Arial"/>
        </w:rPr>
      </w:pPr>
      <w:r w:rsidRPr="00E56E65">
        <w:rPr>
          <w:rFonts w:ascii="Arial" w:hAnsi="Arial" w:cs="Arial"/>
        </w:rPr>
        <w:t>minimum cross-subsidisation;</w:t>
      </w:r>
    </w:p>
    <w:p w14:paraId="7827FD32" w14:textId="77777777" w:rsidR="009E1A16" w:rsidRPr="00E56E65" w:rsidRDefault="009E1A16" w:rsidP="009E1A16">
      <w:pPr>
        <w:numPr>
          <w:ilvl w:val="0"/>
          <w:numId w:val="17"/>
        </w:numPr>
        <w:rPr>
          <w:rFonts w:ascii="Arial" w:hAnsi="Arial" w:cs="Arial"/>
        </w:rPr>
      </w:pPr>
      <w:r w:rsidRPr="00E56E65">
        <w:rPr>
          <w:rFonts w:ascii="Arial" w:hAnsi="Arial" w:cs="Arial"/>
        </w:rPr>
        <w:t xml:space="preserve">protection against major events; and </w:t>
      </w:r>
    </w:p>
    <w:p w14:paraId="31294EF1" w14:textId="77777777" w:rsidR="009E1A16" w:rsidRDefault="009E1A16" w:rsidP="009E1A16">
      <w:pPr>
        <w:numPr>
          <w:ilvl w:val="0"/>
          <w:numId w:val="17"/>
        </w:numPr>
        <w:rPr>
          <w:rFonts w:ascii="Arial" w:hAnsi="Arial" w:cs="Arial"/>
          <w:b/>
        </w:rPr>
      </w:pPr>
      <w:proofErr w:type="gramStart"/>
      <w:r w:rsidRPr="00E56E65">
        <w:rPr>
          <w:rFonts w:ascii="Arial" w:hAnsi="Arial" w:cs="Arial"/>
        </w:rPr>
        <w:t>incentives</w:t>
      </w:r>
      <w:proofErr w:type="gramEnd"/>
      <w:r w:rsidRPr="00E56E65">
        <w:rPr>
          <w:rFonts w:ascii="Arial" w:hAnsi="Arial" w:cs="Arial"/>
        </w:rPr>
        <w:t xml:space="preserve"> for risk management.</w:t>
      </w:r>
    </w:p>
    <w:p w14:paraId="5299B349" w14:textId="77777777" w:rsidR="009E1A16" w:rsidRDefault="009E1A16" w:rsidP="009E1A16">
      <w:pPr>
        <w:rPr>
          <w:rFonts w:ascii="Arial" w:hAnsi="Arial" w:cs="Arial"/>
          <w:b/>
        </w:rPr>
      </w:pPr>
    </w:p>
    <w:p w14:paraId="6D7FCD29" w14:textId="77777777" w:rsidR="009E1A16" w:rsidRDefault="009E1A16" w:rsidP="009E1A16">
      <w:pPr>
        <w:rPr>
          <w:rFonts w:ascii="Arial" w:hAnsi="Arial" w:cs="Arial"/>
          <w:b/>
        </w:rPr>
      </w:pPr>
    </w:p>
    <w:p w14:paraId="5AEE8F56" w14:textId="77777777" w:rsidR="009E1A16" w:rsidRDefault="009E1A16" w:rsidP="009E1A16">
      <w:pPr>
        <w:rPr>
          <w:rFonts w:ascii="Arial" w:hAnsi="Arial" w:cs="Arial"/>
          <w:b/>
        </w:rPr>
      </w:pPr>
    </w:p>
    <w:p w14:paraId="0CFDB062" w14:textId="77777777" w:rsidR="009E1A16" w:rsidRDefault="009E1A16" w:rsidP="009E1A16">
      <w:pPr>
        <w:rPr>
          <w:rFonts w:ascii="Arial" w:hAnsi="Arial" w:cs="Arial"/>
          <w:b/>
        </w:rPr>
      </w:pPr>
    </w:p>
    <w:p w14:paraId="7B6466C8" w14:textId="77777777" w:rsidR="009E1A16" w:rsidRDefault="009E1A16" w:rsidP="009E1A16">
      <w:pPr>
        <w:rPr>
          <w:rFonts w:ascii="Arial" w:hAnsi="Arial" w:cs="Arial"/>
          <w:b/>
        </w:rPr>
      </w:pPr>
    </w:p>
    <w:p w14:paraId="55C7F5EC" w14:textId="77777777" w:rsidR="009E1A16" w:rsidRDefault="009E1A16" w:rsidP="009E1A16">
      <w:pPr>
        <w:rPr>
          <w:rFonts w:ascii="Arial" w:hAnsi="Arial" w:cs="Arial"/>
          <w:b/>
        </w:rPr>
      </w:pPr>
    </w:p>
    <w:p w14:paraId="733254E5" w14:textId="77777777" w:rsidR="009E1A16" w:rsidRDefault="009E1A16" w:rsidP="009E1A16">
      <w:pPr>
        <w:rPr>
          <w:rFonts w:ascii="Arial" w:hAnsi="Arial" w:cs="Arial"/>
          <w:b/>
        </w:rPr>
      </w:pPr>
    </w:p>
    <w:p w14:paraId="6CEFC030" w14:textId="77777777" w:rsidR="009E1A16" w:rsidRDefault="009E1A16" w:rsidP="009E1A16">
      <w:pPr>
        <w:rPr>
          <w:rFonts w:ascii="Arial" w:hAnsi="Arial" w:cs="Arial"/>
          <w:b/>
        </w:rPr>
      </w:pPr>
    </w:p>
    <w:p w14:paraId="44ACD9F6" w14:textId="77777777" w:rsidR="009E1A16" w:rsidRDefault="009E1A16" w:rsidP="009E1A16">
      <w:pPr>
        <w:rPr>
          <w:rFonts w:ascii="Arial" w:hAnsi="Arial" w:cs="Arial"/>
          <w:b/>
        </w:rPr>
      </w:pPr>
    </w:p>
    <w:p w14:paraId="18C63D0F" w14:textId="77777777" w:rsidR="009E1A16" w:rsidRPr="00E56E65" w:rsidRDefault="009E1A16" w:rsidP="009E1A16">
      <w:pPr>
        <w:rPr>
          <w:rFonts w:ascii="Arial" w:hAnsi="Arial" w:cs="Arial"/>
          <w:b/>
        </w:rPr>
      </w:pPr>
      <w:r w:rsidRPr="00E56E65">
        <w:rPr>
          <w:rFonts w:ascii="Arial" w:hAnsi="Arial" w:cs="Arial"/>
          <w:b/>
        </w:rPr>
        <w:tab/>
      </w:r>
    </w:p>
    <w:p w14:paraId="08212332" w14:textId="77777777" w:rsidR="009E1A16" w:rsidRPr="009E1A16" w:rsidRDefault="009E1A16" w:rsidP="009E1A16">
      <w:pPr>
        <w:pStyle w:val="ARHeading3"/>
      </w:pPr>
      <w:bookmarkStart w:id="82" w:name="_Toc390680599"/>
      <w:r w:rsidRPr="009E1A16">
        <w:lastRenderedPageBreak/>
        <w:t>6.2.2</w:t>
      </w:r>
      <w:r w:rsidRPr="009E1A16">
        <w:tab/>
        <w:t>Capital Works</w:t>
      </w:r>
      <w:bookmarkEnd w:id="82"/>
    </w:p>
    <w:p w14:paraId="7A4FF839" w14:textId="77777777" w:rsidR="009E1A16" w:rsidRPr="00890D3A" w:rsidRDefault="009E1A16" w:rsidP="009E1A16">
      <w:pPr>
        <w:rPr>
          <w:rFonts w:ascii="Arial" w:hAnsi="Arial" w:cs="Arial"/>
          <w:lang w:val="en-GB"/>
        </w:rPr>
      </w:pPr>
      <w:r w:rsidRPr="00890D3A">
        <w:rPr>
          <w:rFonts w:ascii="Arial" w:hAnsi="Arial" w:cs="Arial"/>
          <w:lang w:val="en-GB"/>
        </w:rPr>
        <w:t xml:space="preserve">In 2018, the Insurance Commission invested </w:t>
      </w:r>
      <w:r>
        <w:rPr>
          <w:rFonts w:ascii="Arial" w:hAnsi="Arial" w:cs="Arial"/>
          <w:lang w:val="en-GB"/>
        </w:rPr>
        <w:t>in</w:t>
      </w:r>
      <w:r w:rsidRPr="00890D3A">
        <w:rPr>
          <w:rFonts w:ascii="Arial" w:hAnsi="Arial" w:cs="Arial"/>
          <w:lang w:val="en-GB"/>
        </w:rPr>
        <w:t xml:space="preserve"> four internal capital works programs.</w:t>
      </w:r>
    </w:p>
    <w:p w14:paraId="68F29259" w14:textId="77777777" w:rsidR="009E1A16" w:rsidRPr="00B560B0" w:rsidRDefault="009E1A16" w:rsidP="009E1A16">
      <w:pPr>
        <w:rPr>
          <w:rFonts w:ascii="Arial" w:hAnsi="Arial" w:cs="Arial"/>
          <w:highlight w:val="yellow"/>
        </w:rPr>
      </w:pPr>
    </w:p>
    <w:tbl>
      <w:tblPr>
        <w:tblStyle w:val="TableGrid"/>
        <w:tblW w:w="0" w:type="auto"/>
        <w:tblLook w:val="04A0" w:firstRow="1" w:lastRow="0" w:firstColumn="1" w:lastColumn="0" w:noHBand="0" w:noVBand="1"/>
      </w:tblPr>
      <w:tblGrid>
        <w:gridCol w:w="4519"/>
        <w:gridCol w:w="4497"/>
      </w:tblGrid>
      <w:tr w:rsidR="009E1A16" w:rsidRPr="00F5693B" w14:paraId="44AFD0B8" w14:textId="77777777" w:rsidTr="009E1A16">
        <w:tc>
          <w:tcPr>
            <w:tcW w:w="9242" w:type="dxa"/>
            <w:gridSpan w:val="2"/>
            <w:shd w:val="clear" w:color="auto" w:fill="44546A" w:themeFill="text2"/>
          </w:tcPr>
          <w:p w14:paraId="3CE5530C" w14:textId="77777777" w:rsidR="009E1A16" w:rsidRPr="00F5693B" w:rsidRDefault="009E1A16" w:rsidP="009E1A16">
            <w:pPr>
              <w:rPr>
                <w:rFonts w:ascii="Arial" w:hAnsi="Arial" w:cs="Arial"/>
                <w:b/>
              </w:rPr>
            </w:pPr>
            <w:r w:rsidRPr="00F5693B">
              <w:rPr>
                <w:rFonts w:ascii="Arial" w:hAnsi="Arial" w:cs="Arial"/>
                <w:b/>
                <w:color w:val="FFFFFF" w:themeColor="background1"/>
              </w:rPr>
              <w:t xml:space="preserve">Workers’ Compensation External Claims Submission </w:t>
            </w:r>
          </w:p>
        </w:tc>
      </w:tr>
      <w:tr w:rsidR="009E1A16" w:rsidRPr="00F5693B" w14:paraId="25F7CF21" w14:textId="77777777" w:rsidTr="009E1A16">
        <w:tc>
          <w:tcPr>
            <w:tcW w:w="4621" w:type="dxa"/>
            <w:shd w:val="clear" w:color="auto" w:fill="5B9BD5" w:themeFill="accent1"/>
          </w:tcPr>
          <w:p w14:paraId="27E7091F"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t>COMPLETION DATE</w:t>
            </w:r>
          </w:p>
        </w:tc>
        <w:tc>
          <w:tcPr>
            <w:tcW w:w="4621" w:type="dxa"/>
          </w:tcPr>
          <w:p w14:paraId="6555C1C7" w14:textId="77777777" w:rsidR="009E1A16" w:rsidRPr="00F5693B" w:rsidRDefault="009E1A16" w:rsidP="009E1A16">
            <w:pPr>
              <w:rPr>
                <w:rFonts w:ascii="Arial" w:hAnsi="Arial" w:cs="Arial"/>
              </w:rPr>
            </w:pPr>
            <w:r w:rsidRPr="00F5693B">
              <w:rPr>
                <w:rFonts w:ascii="Arial" w:hAnsi="Arial" w:cs="Arial"/>
              </w:rPr>
              <w:t>July 2017</w:t>
            </w:r>
          </w:p>
        </w:tc>
      </w:tr>
      <w:tr w:rsidR="009E1A16" w:rsidRPr="00F5693B" w14:paraId="1005C97D" w14:textId="77777777" w:rsidTr="009E1A16">
        <w:tc>
          <w:tcPr>
            <w:tcW w:w="4621" w:type="dxa"/>
            <w:shd w:val="clear" w:color="auto" w:fill="5B9BD5" w:themeFill="accent1"/>
          </w:tcPr>
          <w:p w14:paraId="2ED1E4AE"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t>FINAL COST</w:t>
            </w:r>
          </w:p>
        </w:tc>
        <w:tc>
          <w:tcPr>
            <w:tcW w:w="4621" w:type="dxa"/>
          </w:tcPr>
          <w:p w14:paraId="453EA9D2" w14:textId="77777777" w:rsidR="009E1A16" w:rsidRPr="00F5693B" w:rsidRDefault="009E1A16" w:rsidP="009E1A16">
            <w:pPr>
              <w:rPr>
                <w:rFonts w:ascii="Arial" w:hAnsi="Arial" w:cs="Arial"/>
              </w:rPr>
            </w:pPr>
            <w:r w:rsidRPr="00F5693B">
              <w:rPr>
                <w:rFonts w:ascii="Arial" w:hAnsi="Arial" w:cs="Arial"/>
              </w:rPr>
              <w:t>$3</w:t>
            </w:r>
            <w:r>
              <w:rPr>
                <w:rFonts w:ascii="Arial" w:hAnsi="Arial" w:cs="Arial"/>
              </w:rPr>
              <w:t>10</w:t>
            </w:r>
            <w:r w:rsidRPr="00F5693B">
              <w:rPr>
                <w:rFonts w:ascii="Arial" w:hAnsi="Arial" w:cs="Arial"/>
              </w:rPr>
              <w:t>,</w:t>
            </w:r>
            <w:r>
              <w:rPr>
                <w:rFonts w:ascii="Arial" w:hAnsi="Arial" w:cs="Arial"/>
              </w:rPr>
              <w:t>76</w:t>
            </w:r>
            <w:r w:rsidRPr="00F5693B">
              <w:rPr>
                <w:rFonts w:ascii="Arial" w:hAnsi="Arial" w:cs="Arial"/>
              </w:rPr>
              <w:t>1</w:t>
            </w:r>
          </w:p>
        </w:tc>
      </w:tr>
      <w:tr w:rsidR="009E1A16" w:rsidRPr="00F5693B" w14:paraId="728709FE" w14:textId="77777777" w:rsidTr="009E1A16">
        <w:tc>
          <w:tcPr>
            <w:tcW w:w="9242" w:type="dxa"/>
            <w:gridSpan w:val="2"/>
          </w:tcPr>
          <w:p w14:paraId="490F7EFA" w14:textId="77777777" w:rsidR="009E1A16" w:rsidRPr="00F5693B" w:rsidRDefault="009E1A16" w:rsidP="009E1A16">
            <w:pPr>
              <w:rPr>
                <w:rFonts w:ascii="Arial" w:hAnsi="Arial" w:cs="Arial"/>
              </w:rPr>
            </w:pPr>
            <w:r w:rsidRPr="00F5693B">
              <w:rPr>
                <w:rFonts w:ascii="Arial" w:hAnsi="Arial" w:cs="Arial"/>
                <w:bCs/>
              </w:rPr>
              <w:t xml:space="preserve">The Insurance Commission </w:t>
            </w:r>
            <w:r>
              <w:rPr>
                <w:rFonts w:ascii="Arial" w:hAnsi="Arial" w:cs="Arial"/>
                <w:bCs/>
              </w:rPr>
              <w:t xml:space="preserve">has </w:t>
            </w:r>
            <w:r w:rsidRPr="00F5693B">
              <w:rPr>
                <w:rFonts w:ascii="Arial" w:hAnsi="Arial" w:cs="Arial"/>
                <w:bCs/>
              </w:rPr>
              <w:t>improv</w:t>
            </w:r>
            <w:r>
              <w:rPr>
                <w:rFonts w:ascii="Arial" w:hAnsi="Arial" w:cs="Arial"/>
                <w:bCs/>
              </w:rPr>
              <w:t>ed</w:t>
            </w:r>
            <w:r w:rsidRPr="00F5693B">
              <w:rPr>
                <w:rFonts w:ascii="Arial" w:hAnsi="Arial" w:cs="Arial"/>
                <w:bCs/>
              </w:rPr>
              <w:t xml:space="preserve"> the workers’ compensation claims process for WA public sector agencies and injured workers. Changes to the process have been made to </w:t>
            </w:r>
            <w:r w:rsidRPr="00F5693B">
              <w:rPr>
                <w:rFonts w:ascii="Arial" w:hAnsi="Arial" w:cs="Arial"/>
              </w:rPr>
              <w:t>allow injured workers to lodge workers’ compensation claims online directly to their nominated workers’ compensation representative. Agency representatives can also log in online to review and approve lodged wo</w:t>
            </w:r>
            <w:r>
              <w:rPr>
                <w:rFonts w:ascii="Arial" w:hAnsi="Arial" w:cs="Arial"/>
              </w:rPr>
              <w:t xml:space="preserve">rkers' compensation claims from </w:t>
            </w:r>
            <w:r w:rsidRPr="00F5693B">
              <w:rPr>
                <w:rFonts w:ascii="Arial" w:hAnsi="Arial" w:cs="Arial"/>
              </w:rPr>
              <w:t xml:space="preserve">staff. These changes enable more efficient processing of workers’ compensation claims, reduced paper handling and </w:t>
            </w:r>
            <w:r>
              <w:rPr>
                <w:rFonts w:ascii="Arial" w:hAnsi="Arial" w:cs="Arial"/>
              </w:rPr>
              <w:t xml:space="preserve">reduced </w:t>
            </w:r>
            <w:r w:rsidRPr="00F5693B">
              <w:rPr>
                <w:rFonts w:ascii="Arial" w:hAnsi="Arial" w:cs="Arial"/>
              </w:rPr>
              <w:t>data entry.</w:t>
            </w:r>
          </w:p>
        </w:tc>
      </w:tr>
    </w:tbl>
    <w:p w14:paraId="419758EC" w14:textId="77777777" w:rsidR="009E1A16" w:rsidRDefault="009E1A16" w:rsidP="009E1A16">
      <w:pPr>
        <w:rPr>
          <w:rFonts w:ascii="Arial" w:hAnsi="Arial" w:cs="Arial"/>
          <w:b/>
        </w:rPr>
      </w:pPr>
    </w:p>
    <w:tbl>
      <w:tblPr>
        <w:tblStyle w:val="TableGrid"/>
        <w:tblW w:w="0" w:type="auto"/>
        <w:tblLook w:val="04A0" w:firstRow="1" w:lastRow="0" w:firstColumn="1" w:lastColumn="0" w:noHBand="0" w:noVBand="1"/>
      </w:tblPr>
      <w:tblGrid>
        <w:gridCol w:w="4517"/>
        <w:gridCol w:w="4499"/>
      </w:tblGrid>
      <w:tr w:rsidR="009E1A16" w:rsidRPr="00F5693B" w14:paraId="0871A282" w14:textId="77777777" w:rsidTr="009E1A16">
        <w:tc>
          <w:tcPr>
            <w:tcW w:w="9060" w:type="dxa"/>
            <w:gridSpan w:val="2"/>
            <w:shd w:val="clear" w:color="auto" w:fill="44546A" w:themeFill="text2"/>
          </w:tcPr>
          <w:p w14:paraId="663B351E"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br w:type="page"/>
              <w:t>Business Services Common User Interface</w:t>
            </w:r>
          </w:p>
        </w:tc>
      </w:tr>
      <w:tr w:rsidR="009E1A16" w:rsidRPr="00F5693B" w14:paraId="55288C04" w14:textId="77777777" w:rsidTr="009E1A16">
        <w:tc>
          <w:tcPr>
            <w:tcW w:w="4537" w:type="dxa"/>
            <w:shd w:val="clear" w:color="auto" w:fill="5B9BD5" w:themeFill="accent1"/>
          </w:tcPr>
          <w:p w14:paraId="0A740A34"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t>COMPLETION DATE</w:t>
            </w:r>
          </w:p>
        </w:tc>
        <w:tc>
          <w:tcPr>
            <w:tcW w:w="4523" w:type="dxa"/>
          </w:tcPr>
          <w:p w14:paraId="20B8307A" w14:textId="77777777" w:rsidR="009E1A16" w:rsidRPr="00F5693B" w:rsidRDefault="009E1A16" w:rsidP="009E1A16">
            <w:pPr>
              <w:rPr>
                <w:rFonts w:ascii="Arial" w:hAnsi="Arial" w:cs="Arial"/>
              </w:rPr>
            </w:pPr>
            <w:r>
              <w:rPr>
                <w:rFonts w:ascii="Arial" w:hAnsi="Arial" w:cs="Arial"/>
              </w:rPr>
              <w:t>December 2017</w:t>
            </w:r>
          </w:p>
        </w:tc>
      </w:tr>
      <w:tr w:rsidR="009E1A16" w:rsidRPr="00F5693B" w14:paraId="07816DC7" w14:textId="77777777" w:rsidTr="009E1A16">
        <w:tc>
          <w:tcPr>
            <w:tcW w:w="4537" w:type="dxa"/>
            <w:shd w:val="clear" w:color="auto" w:fill="5B9BD5" w:themeFill="accent1"/>
          </w:tcPr>
          <w:p w14:paraId="0F904B2D"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t>FINAL COST</w:t>
            </w:r>
          </w:p>
        </w:tc>
        <w:tc>
          <w:tcPr>
            <w:tcW w:w="4523" w:type="dxa"/>
          </w:tcPr>
          <w:p w14:paraId="2DA0A908" w14:textId="77777777" w:rsidR="009E1A16" w:rsidRPr="00F5693B" w:rsidRDefault="009E1A16" w:rsidP="009E1A16">
            <w:pPr>
              <w:rPr>
                <w:rFonts w:ascii="Arial" w:hAnsi="Arial" w:cs="Arial"/>
              </w:rPr>
            </w:pPr>
            <w:r w:rsidRPr="00F5693B">
              <w:rPr>
                <w:rFonts w:ascii="Arial" w:hAnsi="Arial" w:cs="Arial"/>
              </w:rPr>
              <w:t>$</w:t>
            </w:r>
            <w:r>
              <w:rPr>
                <w:rFonts w:ascii="Arial" w:hAnsi="Arial" w:cs="Arial"/>
              </w:rPr>
              <w:t>392</w:t>
            </w:r>
            <w:r w:rsidRPr="00F5693B">
              <w:rPr>
                <w:rFonts w:ascii="Arial" w:hAnsi="Arial" w:cs="Arial"/>
              </w:rPr>
              <w:t>,</w:t>
            </w:r>
            <w:r>
              <w:rPr>
                <w:rFonts w:ascii="Arial" w:hAnsi="Arial" w:cs="Arial"/>
              </w:rPr>
              <w:t>080</w:t>
            </w:r>
          </w:p>
        </w:tc>
      </w:tr>
      <w:tr w:rsidR="009E1A16" w:rsidRPr="00214A2E" w14:paraId="0F5DF2A3" w14:textId="77777777" w:rsidTr="009E1A16">
        <w:tc>
          <w:tcPr>
            <w:tcW w:w="9060" w:type="dxa"/>
            <w:gridSpan w:val="2"/>
          </w:tcPr>
          <w:p w14:paraId="0B5D24EB" w14:textId="77777777" w:rsidR="009E1A16" w:rsidRPr="00CC12A8" w:rsidRDefault="009E1A16" w:rsidP="009E1A16">
            <w:pPr>
              <w:rPr>
                <w:rFonts w:ascii="Arial" w:hAnsi="Arial" w:cs="Arial"/>
              </w:rPr>
            </w:pPr>
            <w:r w:rsidRPr="00F5693B">
              <w:rPr>
                <w:rFonts w:ascii="Arial" w:hAnsi="Arial" w:cs="Arial"/>
              </w:rPr>
              <w:t xml:space="preserve">This project </w:t>
            </w:r>
            <w:r>
              <w:rPr>
                <w:rFonts w:ascii="Arial" w:hAnsi="Arial" w:cs="Arial"/>
              </w:rPr>
              <w:t xml:space="preserve">has </w:t>
            </w:r>
            <w:r w:rsidRPr="00F5693B">
              <w:rPr>
                <w:rFonts w:ascii="Arial" w:hAnsi="Arial" w:cs="Arial"/>
              </w:rPr>
              <w:t>deliver</w:t>
            </w:r>
            <w:r>
              <w:rPr>
                <w:rFonts w:ascii="Arial" w:hAnsi="Arial" w:cs="Arial"/>
              </w:rPr>
              <w:t>ed</w:t>
            </w:r>
            <w:r w:rsidRPr="00F5693B">
              <w:rPr>
                <w:rFonts w:ascii="Arial" w:hAnsi="Arial" w:cs="Arial"/>
              </w:rPr>
              <w:t xml:space="preserve"> a common-user interface for the Insurance Commission’s Business Services team to achieve operational efficiencies through consolidation of claim support activities and functions.</w:t>
            </w:r>
            <w:r>
              <w:rPr>
                <w:rFonts w:ascii="Arial" w:hAnsi="Arial" w:cs="Arial"/>
              </w:rPr>
              <w:t xml:space="preserve"> This project complements the </w:t>
            </w:r>
            <w:r w:rsidRPr="00F5693B">
              <w:rPr>
                <w:rFonts w:ascii="Arial" w:hAnsi="Arial" w:cs="Arial"/>
              </w:rPr>
              <w:t>previous introduction of optical character recognition software</w:t>
            </w:r>
            <w:r>
              <w:rPr>
                <w:rFonts w:ascii="Arial" w:hAnsi="Arial" w:cs="Arial"/>
              </w:rPr>
              <w:t>.</w:t>
            </w:r>
          </w:p>
        </w:tc>
      </w:tr>
    </w:tbl>
    <w:p w14:paraId="22321196" w14:textId="77777777" w:rsidR="009E1A16" w:rsidRDefault="009E1A16" w:rsidP="009E1A16">
      <w:pPr>
        <w:rPr>
          <w:rFonts w:ascii="Arial" w:hAnsi="Arial" w:cs="Arial"/>
        </w:rPr>
      </w:pPr>
    </w:p>
    <w:tbl>
      <w:tblPr>
        <w:tblStyle w:val="TableGrid"/>
        <w:tblW w:w="0" w:type="auto"/>
        <w:tblLook w:val="04A0" w:firstRow="1" w:lastRow="0" w:firstColumn="1" w:lastColumn="0" w:noHBand="0" w:noVBand="1"/>
      </w:tblPr>
      <w:tblGrid>
        <w:gridCol w:w="4519"/>
        <w:gridCol w:w="4497"/>
      </w:tblGrid>
      <w:tr w:rsidR="009E1A16" w:rsidRPr="00F5693B" w14:paraId="3160ACCA" w14:textId="77777777" w:rsidTr="009E1A16">
        <w:tc>
          <w:tcPr>
            <w:tcW w:w="9060" w:type="dxa"/>
            <w:gridSpan w:val="2"/>
            <w:shd w:val="clear" w:color="auto" w:fill="44546A" w:themeFill="text2"/>
          </w:tcPr>
          <w:p w14:paraId="75D96E12"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br w:type="page"/>
            </w:r>
            <w:r>
              <w:rPr>
                <w:rFonts w:ascii="Arial" w:hAnsi="Arial" w:cs="Arial"/>
                <w:b/>
                <w:color w:val="FFFFFF" w:themeColor="background1"/>
              </w:rPr>
              <w:t>Business Intelligence and Analytics</w:t>
            </w:r>
          </w:p>
        </w:tc>
      </w:tr>
      <w:tr w:rsidR="009E1A16" w:rsidRPr="00F5693B" w14:paraId="6DDE4C26" w14:textId="77777777" w:rsidTr="009E1A16">
        <w:tc>
          <w:tcPr>
            <w:tcW w:w="4539" w:type="dxa"/>
            <w:shd w:val="clear" w:color="auto" w:fill="5B9BD5" w:themeFill="accent1"/>
          </w:tcPr>
          <w:p w14:paraId="64D18BC9"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t>COMPLETION DATE</w:t>
            </w:r>
          </w:p>
        </w:tc>
        <w:tc>
          <w:tcPr>
            <w:tcW w:w="4521" w:type="dxa"/>
          </w:tcPr>
          <w:p w14:paraId="55EC8605" w14:textId="77777777" w:rsidR="009E1A16" w:rsidRPr="00F5693B" w:rsidRDefault="009E1A16" w:rsidP="009E1A16">
            <w:pPr>
              <w:rPr>
                <w:rFonts w:ascii="Arial" w:hAnsi="Arial" w:cs="Arial"/>
              </w:rPr>
            </w:pPr>
            <w:r>
              <w:rPr>
                <w:rFonts w:ascii="Arial" w:hAnsi="Arial" w:cs="Arial"/>
              </w:rPr>
              <w:t>April 2018</w:t>
            </w:r>
          </w:p>
        </w:tc>
      </w:tr>
      <w:tr w:rsidR="009E1A16" w:rsidRPr="00F5693B" w14:paraId="58E06DCA" w14:textId="77777777" w:rsidTr="009E1A16">
        <w:tc>
          <w:tcPr>
            <w:tcW w:w="4539" w:type="dxa"/>
            <w:shd w:val="clear" w:color="auto" w:fill="5B9BD5" w:themeFill="accent1"/>
          </w:tcPr>
          <w:p w14:paraId="041C41F3"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t>FINAL COST</w:t>
            </w:r>
          </w:p>
        </w:tc>
        <w:tc>
          <w:tcPr>
            <w:tcW w:w="4521" w:type="dxa"/>
          </w:tcPr>
          <w:p w14:paraId="4B1AA95F" w14:textId="77777777" w:rsidR="009E1A16" w:rsidRPr="00F5693B" w:rsidRDefault="009E1A16" w:rsidP="009E1A16">
            <w:pPr>
              <w:rPr>
                <w:rFonts w:ascii="Arial" w:hAnsi="Arial" w:cs="Arial"/>
              </w:rPr>
            </w:pPr>
            <w:r w:rsidRPr="00F5693B">
              <w:rPr>
                <w:rFonts w:ascii="Arial" w:hAnsi="Arial" w:cs="Arial"/>
              </w:rPr>
              <w:t>$</w:t>
            </w:r>
            <w:r>
              <w:rPr>
                <w:rFonts w:ascii="Arial" w:hAnsi="Arial" w:cs="Arial"/>
              </w:rPr>
              <w:t>490,831</w:t>
            </w:r>
          </w:p>
        </w:tc>
      </w:tr>
      <w:tr w:rsidR="009E1A16" w:rsidRPr="00214A2E" w14:paraId="2B83FA54" w14:textId="77777777" w:rsidTr="009E1A16">
        <w:tc>
          <w:tcPr>
            <w:tcW w:w="9060" w:type="dxa"/>
            <w:gridSpan w:val="2"/>
          </w:tcPr>
          <w:p w14:paraId="34E0B4C7" w14:textId="77777777" w:rsidR="009E1A16" w:rsidRPr="00CC12A8" w:rsidRDefault="009E1A16" w:rsidP="009E1A16">
            <w:pPr>
              <w:rPr>
                <w:rFonts w:ascii="Arial" w:hAnsi="Arial" w:cs="Arial"/>
              </w:rPr>
            </w:pPr>
            <w:r>
              <w:rPr>
                <w:rFonts w:ascii="Arial" w:hAnsi="Arial" w:cs="Arial"/>
              </w:rPr>
              <w:t xml:space="preserve">The Insurance Commission has enhanced its ability to analyse motor injury insurance data through the development of a </w:t>
            </w:r>
            <w:proofErr w:type="spellStart"/>
            <w:r>
              <w:rPr>
                <w:rFonts w:ascii="Arial" w:hAnsi="Arial" w:cs="Arial"/>
              </w:rPr>
              <w:t>datamart</w:t>
            </w:r>
            <w:proofErr w:type="spellEnd"/>
            <w:r>
              <w:rPr>
                <w:rFonts w:ascii="Arial" w:hAnsi="Arial" w:cs="Arial"/>
              </w:rPr>
              <w:t xml:space="preserve">. The project delivers an improved reporting and benchmarking capability to support decision making.  </w:t>
            </w:r>
          </w:p>
        </w:tc>
      </w:tr>
    </w:tbl>
    <w:p w14:paraId="01273FA9" w14:textId="77777777" w:rsidR="009E1A16" w:rsidRDefault="009E1A16" w:rsidP="009E1A16">
      <w:pPr>
        <w:rPr>
          <w:rFonts w:ascii="Arial" w:hAnsi="Arial" w:cs="Arial"/>
        </w:rPr>
      </w:pPr>
    </w:p>
    <w:tbl>
      <w:tblPr>
        <w:tblStyle w:val="TableGrid"/>
        <w:tblW w:w="0" w:type="auto"/>
        <w:tblLook w:val="04A0" w:firstRow="1" w:lastRow="0" w:firstColumn="1" w:lastColumn="0" w:noHBand="0" w:noVBand="1"/>
      </w:tblPr>
      <w:tblGrid>
        <w:gridCol w:w="4519"/>
        <w:gridCol w:w="4497"/>
      </w:tblGrid>
      <w:tr w:rsidR="009E1A16" w:rsidRPr="00F5693B" w14:paraId="00A2F144" w14:textId="77777777" w:rsidTr="009E1A16">
        <w:tc>
          <w:tcPr>
            <w:tcW w:w="9242" w:type="dxa"/>
            <w:gridSpan w:val="2"/>
            <w:shd w:val="clear" w:color="auto" w:fill="44546A" w:themeFill="text2"/>
          </w:tcPr>
          <w:p w14:paraId="59C1F363"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br w:type="page"/>
            </w:r>
            <w:r>
              <w:rPr>
                <w:rFonts w:ascii="Arial" w:hAnsi="Arial" w:cs="Arial"/>
                <w:b/>
                <w:color w:val="FFFFFF" w:themeColor="background1"/>
              </w:rPr>
              <w:t xml:space="preserve">Automated Testing </w:t>
            </w:r>
          </w:p>
        </w:tc>
      </w:tr>
      <w:tr w:rsidR="009E1A16" w:rsidRPr="00F5693B" w14:paraId="31FD2363" w14:textId="77777777" w:rsidTr="009E1A16">
        <w:tc>
          <w:tcPr>
            <w:tcW w:w="4621" w:type="dxa"/>
            <w:shd w:val="clear" w:color="auto" w:fill="5B9BD5" w:themeFill="accent1"/>
          </w:tcPr>
          <w:p w14:paraId="060E638C"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t>COMPLETION DATE</w:t>
            </w:r>
          </w:p>
        </w:tc>
        <w:tc>
          <w:tcPr>
            <w:tcW w:w="4621" w:type="dxa"/>
          </w:tcPr>
          <w:p w14:paraId="710D9AEB" w14:textId="77777777" w:rsidR="009E1A16" w:rsidRPr="00F5693B" w:rsidRDefault="009E1A16" w:rsidP="009E1A16">
            <w:pPr>
              <w:rPr>
                <w:rFonts w:ascii="Arial" w:hAnsi="Arial" w:cs="Arial"/>
              </w:rPr>
            </w:pPr>
            <w:r>
              <w:rPr>
                <w:rFonts w:ascii="Arial" w:hAnsi="Arial" w:cs="Arial"/>
              </w:rPr>
              <w:t>May 2018</w:t>
            </w:r>
          </w:p>
        </w:tc>
      </w:tr>
      <w:tr w:rsidR="009E1A16" w:rsidRPr="00F5693B" w14:paraId="1932B0B7" w14:textId="77777777" w:rsidTr="009E1A16">
        <w:tc>
          <w:tcPr>
            <w:tcW w:w="4621" w:type="dxa"/>
            <w:shd w:val="clear" w:color="auto" w:fill="5B9BD5" w:themeFill="accent1"/>
          </w:tcPr>
          <w:p w14:paraId="57436AD9" w14:textId="77777777" w:rsidR="009E1A16" w:rsidRPr="00F5693B" w:rsidRDefault="009E1A16" w:rsidP="009E1A16">
            <w:pPr>
              <w:rPr>
                <w:rFonts w:ascii="Arial" w:hAnsi="Arial" w:cs="Arial"/>
                <w:b/>
                <w:color w:val="FFFFFF" w:themeColor="background1"/>
              </w:rPr>
            </w:pPr>
            <w:r w:rsidRPr="00F5693B">
              <w:rPr>
                <w:rFonts w:ascii="Arial" w:hAnsi="Arial" w:cs="Arial"/>
                <w:b/>
                <w:color w:val="FFFFFF" w:themeColor="background1"/>
              </w:rPr>
              <w:t>FINAL COST</w:t>
            </w:r>
          </w:p>
        </w:tc>
        <w:tc>
          <w:tcPr>
            <w:tcW w:w="4621" w:type="dxa"/>
          </w:tcPr>
          <w:p w14:paraId="5066F786" w14:textId="77777777" w:rsidR="009E1A16" w:rsidRPr="00F5693B" w:rsidRDefault="009E1A16" w:rsidP="009E1A16">
            <w:pPr>
              <w:rPr>
                <w:rFonts w:ascii="Arial" w:hAnsi="Arial" w:cs="Arial"/>
              </w:rPr>
            </w:pPr>
            <w:r w:rsidRPr="00F5693B">
              <w:rPr>
                <w:rFonts w:ascii="Arial" w:hAnsi="Arial" w:cs="Arial"/>
              </w:rPr>
              <w:t>$</w:t>
            </w:r>
            <w:r>
              <w:rPr>
                <w:rFonts w:ascii="Arial" w:hAnsi="Arial" w:cs="Arial"/>
              </w:rPr>
              <w:t>184</w:t>
            </w:r>
            <w:r w:rsidRPr="00F5693B">
              <w:rPr>
                <w:rFonts w:ascii="Arial" w:hAnsi="Arial" w:cs="Arial"/>
              </w:rPr>
              <w:t>,</w:t>
            </w:r>
            <w:r>
              <w:rPr>
                <w:rFonts w:ascii="Arial" w:hAnsi="Arial" w:cs="Arial"/>
              </w:rPr>
              <w:t>063</w:t>
            </w:r>
          </w:p>
        </w:tc>
      </w:tr>
      <w:tr w:rsidR="009E1A16" w:rsidRPr="00214A2E" w14:paraId="73658CCD" w14:textId="77777777" w:rsidTr="009E1A16">
        <w:tc>
          <w:tcPr>
            <w:tcW w:w="9242" w:type="dxa"/>
            <w:gridSpan w:val="2"/>
          </w:tcPr>
          <w:p w14:paraId="48B21893" w14:textId="77777777" w:rsidR="009E1A16" w:rsidRPr="00CC12A8" w:rsidRDefault="009E1A16" w:rsidP="009E1A16">
            <w:pPr>
              <w:rPr>
                <w:rFonts w:ascii="Arial" w:hAnsi="Arial" w:cs="Arial"/>
              </w:rPr>
            </w:pPr>
            <w:r>
              <w:rPr>
                <w:rFonts w:ascii="Arial" w:hAnsi="Arial" w:cs="Arial"/>
              </w:rPr>
              <w:t>The Insurance Commission established an automated testing regime for software used by the business. Automated testing allows early identification of software defects, reduces the time taken for new system deployment and extends the utility of existing systems.</w:t>
            </w:r>
          </w:p>
        </w:tc>
      </w:tr>
    </w:tbl>
    <w:p w14:paraId="19D786AB" w14:textId="77777777" w:rsidR="009E1A16" w:rsidRPr="00214A2E" w:rsidRDefault="009E1A16" w:rsidP="009E1A16">
      <w:pPr>
        <w:rPr>
          <w:rFonts w:ascii="Arial" w:hAnsi="Arial" w:cs="Arial"/>
          <w:b/>
        </w:rPr>
      </w:pPr>
    </w:p>
    <w:p w14:paraId="7C55FAB3" w14:textId="77777777" w:rsidR="009E1A16" w:rsidRPr="00CC12A8" w:rsidRDefault="009E1A16" w:rsidP="009E1A16">
      <w:pPr>
        <w:pStyle w:val="ARHeading2"/>
      </w:pPr>
      <w:bookmarkStart w:id="83" w:name="_Toc390680600"/>
      <w:bookmarkStart w:id="84" w:name="_Toc458802749"/>
      <w:bookmarkStart w:id="85" w:name="_Toc524709401"/>
      <w:r w:rsidRPr="00CC12A8">
        <w:t>6.3</w:t>
      </w:r>
      <w:r w:rsidRPr="00CC12A8">
        <w:tab/>
        <w:t>Governance Disclosures</w:t>
      </w:r>
      <w:bookmarkEnd w:id="83"/>
      <w:bookmarkEnd w:id="84"/>
      <w:bookmarkEnd w:id="85"/>
    </w:p>
    <w:p w14:paraId="097FA828" w14:textId="77777777" w:rsidR="009E1A16" w:rsidRDefault="009E1A16" w:rsidP="009E1A16">
      <w:pPr>
        <w:rPr>
          <w:rFonts w:ascii="Arial" w:hAnsi="Arial" w:cs="Arial"/>
          <w:b/>
        </w:rPr>
      </w:pPr>
      <w:bookmarkStart w:id="86" w:name="_Toc390680601"/>
    </w:p>
    <w:p w14:paraId="42CEB8AD" w14:textId="36329B31" w:rsidR="009E1A16" w:rsidRPr="009E1A16" w:rsidRDefault="009E1A16" w:rsidP="009E1A16">
      <w:pPr>
        <w:rPr>
          <w:rFonts w:ascii="Arial" w:hAnsi="Arial" w:cs="Arial"/>
          <w:b/>
          <w:sz w:val="28"/>
          <w:szCs w:val="28"/>
        </w:rPr>
      </w:pPr>
      <w:r w:rsidRPr="00CC12A8">
        <w:rPr>
          <w:rFonts w:ascii="Arial" w:hAnsi="Arial" w:cs="Arial"/>
          <w:b/>
          <w:sz w:val="28"/>
          <w:szCs w:val="28"/>
        </w:rPr>
        <w:t>6.3.1</w:t>
      </w:r>
      <w:r w:rsidRPr="00CC12A8">
        <w:rPr>
          <w:rFonts w:ascii="Arial" w:hAnsi="Arial" w:cs="Arial"/>
          <w:b/>
          <w:sz w:val="28"/>
          <w:szCs w:val="28"/>
        </w:rPr>
        <w:tab/>
        <w:t>Employment and Industrial Relations</w:t>
      </w:r>
      <w:bookmarkEnd w:id="86"/>
    </w:p>
    <w:p w14:paraId="0F8F9972" w14:textId="77777777" w:rsidR="009E1A16" w:rsidRPr="00CC12A8" w:rsidRDefault="009E1A16" w:rsidP="009E1A16">
      <w:pPr>
        <w:rPr>
          <w:rFonts w:ascii="Arial" w:hAnsi="Arial" w:cs="Arial"/>
          <w:lang w:val="en-GB"/>
        </w:rPr>
      </w:pPr>
      <w:r w:rsidRPr="00CC12A8">
        <w:rPr>
          <w:rFonts w:ascii="Arial" w:hAnsi="Arial" w:cs="Arial"/>
          <w:lang w:val="en-GB"/>
        </w:rPr>
        <w:t>The Insurance Commission operated below the full-time equivalent (FTE) budget throughout the year, and as at 30 June 201</w:t>
      </w:r>
      <w:r>
        <w:rPr>
          <w:rFonts w:ascii="Arial" w:hAnsi="Arial" w:cs="Arial"/>
          <w:lang w:val="en-GB"/>
        </w:rPr>
        <w:t>8</w:t>
      </w:r>
      <w:r w:rsidRPr="00CC12A8">
        <w:rPr>
          <w:rFonts w:ascii="Arial" w:hAnsi="Arial" w:cs="Arial"/>
          <w:lang w:val="en-GB"/>
        </w:rPr>
        <w:t xml:space="preserve">, the total FTE count was </w:t>
      </w:r>
      <w:r>
        <w:rPr>
          <w:rFonts w:ascii="Arial" w:hAnsi="Arial" w:cs="Arial"/>
          <w:lang w:val="en-GB"/>
        </w:rPr>
        <w:t>342.9</w:t>
      </w:r>
      <w:r w:rsidRPr="007B6BDF">
        <w:rPr>
          <w:rFonts w:ascii="Arial" w:hAnsi="Arial" w:cs="Arial"/>
          <w:lang w:val="en-GB"/>
        </w:rPr>
        <w:t>.</w:t>
      </w:r>
    </w:p>
    <w:p w14:paraId="12FE6C21" w14:textId="77777777" w:rsidR="009E1A16" w:rsidRPr="00CC12A8" w:rsidRDefault="009E1A16" w:rsidP="009E1A16">
      <w:pPr>
        <w:rPr>
          <w:rFonts w:ascii="Arial" w:hAnsi="Arial" w:cs="Arial"/>
          <w:lang w:val="en-GB"/>
        </w:rPr>
      </w:pPr>
    </w:p>
    <w:p w14:paraId="4586ECEE" w14:textId="77777777" w:rsidR="009E1A16" w:rsidRPr="00CC12A8" w:rsidRDefault="009E1A16" w:rsidP="009E1A16">
      <w:pPr>
        <w:rPr>
          <w:rFonts w:ascii="Arial" w:hAnsi="Arial" w:cs="Arial"/>
          <w:lang w:val="en-GB"/>
        </w:rPr>
      </w:pPr>
      <w:r w:rsidRPr="00CC12A8">
        <w:rPr>
          <w:rFonts w:ascii="Arial" w:hAnsi="Arial" w:cs="Arial"/>
          <w:lang w:val="en-GB"/>
        </w:rPr>
        <w:t xml:space="preserve">Other than the Chief Executive, the Insurance Commission’s workforce is employed under the </w:t>
      </w:r>
      <w:r w:rsidRPr="00CC12A8">
        <w:rPr>
          <w:rFonts w:ascii="Arial" w:hAnsi="Arial" w:cs="Arial"/>
          <w:i/>
          <w:lang w:val="en-GB"/>
        </w:rPr>
        <w:t>Insurance Commission of Western Australia Act 1986</w:t>
      </w:r>
      <w:r w:rsidRPr="00CC12A8">
        <w:rPr>
          <w:rFonts w:ascii="Arial" w:hAnsi="Arial" w:cs="Arial"/>
          <w:lang w:val="en-GB"/>
        </w:rPr>
        <w:t>. Remuneration and other working conditions are determined by the Insurance Commission, subject to the Government Officers (Insurance Commission of Western Australia) Award 1987 and the Government Officers (Insurance Commission of Western Australia) General Agreement 201</w:t>
      </w:r>
      <w:r>
        <w:rPr>
          <w:rFonts w:ascii="Arial" w:hAnsi="Arial" w:cs="Arial"/>
          <w:lang w:val="en-GB"/>
        </w:rPr>
        <w:t>7</w:t>
      </w:r>
      <w:r w:rsidRPr="00CC12A8">
        <w:rPr>
          <w:rFonts w:ascii="Arial" w:hAnsi="Arial" w:cs="Arial"/>
          <w:lang w:val="en-GB"/>
        </w:rPr>
        <w:t>.</w:t>
      </w:r>
    </w:p>
    <w:p w14:paraId="643C301D" w14:textId="77777777" w:rsidR="009E1A16" w:rsidRPr="00CC12A8" w:rsidRDefault="009E1A16" w:rsidP="009E1A16">
      <w:pPr>
        <w:rPr>
          <w:rFonts w:ascii="Arial" w:hAnsi="Arial" w:cs="Arial"/>
          <w:lang w:val="en-GB"/>
        </w:rPr>
      </w:pPr>
    </w:p>
    <w:p w14:paraId="740EB793" w14:textId="77777777" w:rsidR="009E1A16" w:rsidRPr="00CC12A8" w:rsidRDefault="009E1A16" w:rsidP="009E1A16">
      <w:pPr>
        <w:rPr>
          <w:rFonts w:ascii="Arial" w:hAnsi="Arial" w:cs="Arial"/>
          <w:lang w:val="en-GB"/>
        </w:rPr>
      </w:pPr>
      <w:r w:rsidRPr="00CC12A8">
        <w:rPr>
          <w:rFonts w:ascii="Arial" w:hAnsi="Arial" w:cs="Arial"/>
          <w:lang w:val="en-GB"/>
        </w:rPr>
        <w:t xml:space="preserve">The Chief Executive is appointed under the </w:t>
      </w:r>
      <w:r w:rsidRPr="00CC12A8">
        <w:rPr>
          <w:rFonts w:ascii="Arial" w:hAnsi="Arial" w:cs="Arial"/>
          <w:i/>
          <w:lang w:val="en-GB"/>
        </w:rPr>
        <w:t>Public Sector Management Act 1994</w:t>
      </w:r>
      <w:r w:rsidRPr="00CC12A8">
        <w:rPr>
          <w:rFonts w:ascii="Arial" w:hAnsi="Arial" w:cs="Arial"/>
          <w:lang w:val="en-GB"/>
        </w:rPr>
        <w:t xml:space="preserve"> with remuneration and other terms of employment determined by the Salaries and Allowances Tribunal.</w:t>
      </w:r>
    </w:p>
    <w:p w14:paraId="73A589F2" w14:textId="77777777" w:rsidR="009E1A16" w:rsidRPr="00CC12A8" w:rsidRDefault="009E1A16" w:rsidP="009E1A16">
      <w:pPr>
        <w:rPr>
          <w:rFonts w:ascii="Arial" w:hAnsi="Arial" w:cs="Arial"/>
          <w:lang w:val="en-GB"/>
        </w:rPr>
      </w:pPr>
    </w:p>
    <w:p w14:paraId="30A9F962" w14:textId="77777777" w:rsidR="009E1A16" w:rsidRPr="007B6BDF" w:rsidRDefault="009E1A16" w:rsidP="009E1A16">
      <w:pPr>
        <w:rPr>
          <w:rFonts w:ascii="Arial" w:hAnsi="Arial" w:cs="Arial"/>
          <w:i/>
          <w:lang w:val="en-GB"/>
        </w:rPr>
      </w:pPr>
      <w:r w:rsidRPr="007B6BDF">
        <w:rPr>
          <w:rFonts w:ascii="Arial" w:hAnsi="Arial" w:cs="Arial"/>
          <w:i/>
          <w:lang w:val="en-GB"/>
        </w:rPr>
        <w:t>Infographic – Workfo</w:t>
      </w:r>
      <w:r>
        <w:rPr>
          <w:rFonts w:ascii="Arial" w:hAnsi="Arial" w:cs="Arial"/>
          <w:i/>
          <w:lang w:val="en-GB"/>
        </w:rPr>
        <w:t>rce D</w:t>
      </w:r>
      <w:r w:rsidRPr="007B6BDF">
        <w:rPr>
          <w:rFonts w:ascii="Arial" w:hAnsi="Arial" w:cs="Arial"/>
          <w:i/>
          <w:lang w:val="en-GB"/>
        </w:rPr>
        <w:t>iversity</w:t>
      </w:r>
    </w:p>
    <w:p w14:paraId="03D0F0CF" w14:textId="77777777" w:rsidR="009E1A16" w:rsidRPr="007B6BDF" w:rsidRDefault="009E1A16" w:rsidP="009E1A16">
      <w:pPr>
        <w:rPr>
          <w:rFonts w:ascii="Arial" w:hAnsi="Arial" w:cs="Arial"/>
          <w:i/>
          <w:lang w:val="en-GB"/>
        </w:rPr>
      </w:pPr>
    </w:p>
    <w:p w14:paraId="01B2DE44" w14:textId="77777777" w:rsidR="009E1A16" w:rsidRPr="007B6BDF" w:rsidRDefault="009E1A16" w:rsidP="009E1A16">
      <w:pPr>
        <w:rPr>
          <w:rFonts w:ascii="Arial" w:hAnsi="Arial" w:cs="Arial"/>
          <w:lang w:val="en-GB"/>
        </w:rPr>
      </w:pPr>
      <w:r w:rsidRPr="007B6BDF">
        <w:rPr>
          <w:rFonts w:ascii="Arial" w:hAnsi="Arial" w:cs="Arial"/>
          <w:lang w:val="en-GB"/>
        </w:rPr>
        <w:t xml:space="preserve">Women </w:t>
      </w:r>
      <w:r>
        <w:rPr>
          <w:rFonts w:ascii="Arial" w:hAnsi="Arial" w:cs="Arial"/>
          <w:lang w:val="en-GB"/>
        </w:rPr>
        <w:t>61</w:t>
      </w:r>
      <w:r w:rsidRPr="007B6BDF">
        <w:rPr>
          <w:rFonts w:ascii="Arial" w:hAnsi="Arial" w:cs="Arial"/>
          <w:lang w:val="en-GB"/>
        </w:rPr>
        <w:t>%</w:t>
      </w:r>
    </w:p>
    <w:p w14:paraId="4605787F" w14:textId="77777777" w:rsidR="009E1A16" w:rsidRPr="007B6BDF" w:rsidRDefault="009E1A16" w:rsidP="009E1A16">
      <w:pPr>
        <w:rPr>
          <w:rFonts w:ascii="Arial" w:hAnsi="Arial" w:cs="Arial"/>
          <w:lang w:val="en-GB"/>
        </w:rPr>
      </w:pPr>
      <w:r w:rsidRPr="007B6BDF">
        <w:rPr>
          <w:rFonts w:ascii="Arial" w:hAnsi="Arial" w:cs="Arial"/>
          <w:lang w:val="en-GB"/>
        </w:rPr>
        <w:t xml:space="preserve">Men </w:t>
      </w:r>
      <w:r>
        <w:rPr>
          <w:rFonts w:ascii="Arial" w:hAnsi="Arial" w:cs="Arial"/>
          <w:lang w:val="en-GB"/>
        </w:rPr>
        <w:t>39</w:t>
      </w:r>
      <w:r w:rsidRPr="007B6BDF">
        <w:rPr>
          <w:rFonts w:ascii="Arial" w:hAnsi="Arial" w:cs="Arial"/>
          <w:lang w:val="en-GB"/>
        </w:rPr>
        <w:t>%</w:t>
      </w:r>
    </w:p>
    <w:p w14:paraId="5AEC76E8" w14:textId="77777777" w:rsidR="009E1A16" w:rsidRPr="007B6BDF" w:rsidRDefault="009E1A16" w:rsidP="009E1A16">
      <w:pPr>
        <w:rPr>
          <w:rFonts w:ascii="Arial" w:hAnsi="Arial" w:cs="Arial"/>
          <w:lang w:val="en-GB"/>
        </w:rPr>
      </w:pPr>
      <w:r w:rsidRPr="007B6BDF">
        <w:rPr>
          <w:rFonts w:ascii="Arial" w:hAnsi="Arial" w:cs="Arial"/>
          <w:lang w:val="en-GB"/>
        </w:rPr>
        <w:t xml:space="preserve">Indigenous Australians </w:t>
      </w:r>
      <w:r>
        <w:rPr>
          <w:rFonts w:ascii="Arial" w:hAnsi="Arial" w:cs="Arial"/>
          <w:lang w:val="en-GB"/>
        </w:rPr>
        <w:t>1.1</w:t>
      </w:r>
      <w:r w:rsidRPr="007B6BDF">
        <w:rPr>
          <w:rFonts w:ascii="Arial" w:hAnsi="Arial" w:cs="Arial"/>
          <w:lang w:val="en-GB"/>
        </w:rPr>
        <w:t>%</w:t>
      </w:r>
    </w:p>
    <w:p w14:paraId="3C9A79CC" w14:textId="77777777" w:rsidR="009E1A16" w:rsidRPr="007B6BDF" w:rsidRDefault="009E1A16" w:rsidP="009E1A16">
      <w:pPr>
        <w:rPr>
          <w:rFonts w:ascii="Arial" w:hAnsi="Arial" w:cs="Arial"/>
          <w:lang w:val="en-GB"/>
        </w:rPr>
      </w:pPr>
      <w:r w:rsidRPr="007B6BDF">
        <w:rPr>
          <w:rFonts w:ascii="Arial" w:hAnsi="Arial" w:cs="Arial"/>
          <w:lang w:val="en-GB"/>
        </w:rPr>
        <w:t xml:space="preserve">People with disability </w:t>
      </w:r>
      <w:r>
        <w:rPr>
          <w:rFonts w:ascii="Arial" w:hAnsi="Arial" w:cs="Arial"/>
          <w:lang w:val="en-GB"/>
        </w:rPr>
        <w:t>3</w:t>
      </w:r>
      <w:r w:rsidRPr="007B6BDF">
        <w:rPr>
          <w:rFonts w:ascii="Arial" w:hAnsi="Arial" w:cs="Arial"/>
          <w:lang w:val="en-GB"/>
        </w:rPr>
        <w:t>%</w:t>
      </w:r>
    </w:p>
    <w:p w14:paraId="0D3F66F2" w14:textId="77777777" w:rsidR="009E1A16" w:rsidRPr="007B6BDF" w:rsidRDefault="009E1A16" w:rsidP="009E1A16">
      <w:pPr>
        <w:rPr>
          <w:rFonts w:ascii="Arial" w:hAnsi="Arial" w:cs="Arial"/>
          <w:lang w:val="en-GB"/>
        </w:rPr>
      </w:pPr>
      <w:r w:rsidRPr="007B6BDF">
        <w:rPr>
          <w:rFonts w:ascii="Arial" w:hAnsi="Arial" w:cs="Arial"/>
          <w:lang w:val="en-GB"/>
        </w:rPr>
        <w:t xml:space="preserve">Youth </w:t>
      </w:r>
      <w:r>
        <w:rPr>
          <w:rFonts w:ascii="Arial" w:hAnsi="Arial" w:cs="Arial"/>
          <w:lang w:val="en-GB"/>
        </w:rPr>
        <w:t>3.8</w:t>
      </w:r>
      <w:r w:rsidRPr="007B6BDF">
        <w:rPr>
          <w:rFonts w:ascii="Arial" w:hAnsi="Arial" w:cs="Arial"/>
          <w:lang w:val="en-GB"/>
        </w:rPr>
        <w:t xml:space="preserve">% </w:t>
      </w:r>
    </w:p>
    <w:p w14:paraId="545D119A" w14:textId="77777777" w:rsidR="009E1A16" w:rsidRPr="007B6BDF" w:rsidRDefault="009E1A16" w:rsidP="009E1A16">
      <w:pPr>
        <w:rPr>
          <w:rFonts w:ascii="Arial" w:hAnsi="Arial" w:cs="Arial"/>
          <w:lang w:val="en-GB"/>
        </w:rPr>
      </w:pPr>
      <w:r w:rsidRPr="007B6BDF">
        <w:rPr>
          <w:rFonts w:ascii="Arial" w:hAnsi="Arial" w:cs="Arial"/>
          <w:lang w:val="en-GB"/>
        </w:rPr>
        <w:t xml:space="preserve">Cultural diversity </w:t>
      </w:r>
      <w:r>
        <w:rPr>
          <w:rFonts w:ascii="Arial" w:hAnsi="Arial" w:cs="Arial"/>
          <w:lang w:val="en-GB"/>
        </w:rPr>
        <w:t>24</w:t>
      </w:r>
      <w:r w:rsidRPr="007B6BDF">
        <w:rPr>
          <w:rFonts w:ascii="Arial" w:hAnsi="Arial" w:cs="Arial"/>
          <w:lang w:val="en-GB"/>
        </w:rPr>
        <w:t>%</w:t>
      </w:r>
    </w:p>
    <w:p w14:paraId="117929EC" w14:textId="77777777" w:rsidR="009E1A16" w:rsidRDefault="009E1A16" w:rsidP="009E1A16">
      <w:pPr>
        <w:rPr>
          <w:rFonts w:ascii="Arial" w:hAnsi="Arial" w:cs="Arial"/>
          <w:b/>
          <w:lang w:val="en-GB"/>
        </w:rPr>
      </w:pPr>
      <w:r w:rsidRPr="007B6BDF">
        <w:rPr>
          <w:rFonts w:ascii="Arial" w:hAnsi="Arial" w:cs="Arial"/>
          <w:lang w:val="en-GB"/>
        </w:rPr>
        <w:t xml:space="preserve">Women in leadership </w:t>
      </w:r>
      <w:r>
        <w:rPr>
          <w:rFonts w:ascii="Arial" w:hAnsi="Arial" w:cs="Arial"/>
          <w:lang w:val="en-GB"/>
        </w:rPr>
        <w:t>39</w:t>
      </w:r>
      <w:r w:rsidRPr="007B6BDF">
        <w:rPr>
          <w:rFonts w:ascii="Arial" w:hAnsi="Arial" w:cs="Arial"/>
          <w:lang w:val="en-GB"/>
        </w:rPr>
        <w:t>%</w:t>
      </w:r>
      <w:r w:rsidRPr="00214A2E">
        <w:rPr>
          <w:rFonts w:ascii="Arial" w:hAnsi="Arial" w:cs="Arial"/>
          <w:b/>
          <w:lang w:val="en-GB"/>
        </w:rPr>
        <w:t xml:space="preserve"> </w:t>
      </w:r>
    </w:p>
    <w:p w14:paraId="704A0891" w14:textId="77777777" w:rsidR="009E1A16" w:rsidRDefault="009E1A16" w:rsidP="009E1A16">
      <w:pPr>
        <w:rPr>
          <w:rFonts w:ascii="Arial" w:hAnsi="Arial" w:cs="Arial"/>
          <w:b/>
          <w:lang w:val="en-GB"/>
        </w:rPr>
      </w:pPr>
    </w:p>
    <w:p w14:paraId="645A128F" w14:textId="4E78850F" w:rsidR="009E1A16" w:rsidRPr="009E1A16" w:rsidRDefault="009E1A16" w:rsidP="009E1A16">
      <w:pPr>
        <w:pStyle w:val="ARHeading3"/>
        <w:rPr>
          <w:lang w:val="en-US"/>
        </w:rPr>
      </w:pPr>
      <w:r w:rsidRPr="00214A2E">
        <w:rPr>
          <w:lang w:val="en-US"/>
        </w:rPr>
        <w:t xml:space="preserve">Staff Profile </w:t>
      </w:r>
    </w:p>
    <w:p w14:paraId="6E86DC33" w14:textId="77777777" w:rsidR="009E1A16" w:rsidRPr="00CC12A8" w:rsidRDefault="009E1A16" w:rsidP="009E1A16">
      <w:pPr>
        <w:rPr>
          <w:rFonts w:ascii="Arial" w:hAnsi="Arial" w:cs="Arial"/>
          <w:lang w:val="en-GB"/>
        </w:rPr>
      </w:pPr>
      <w:r w:rsidRPr="00CC12A8">
        <w:rPr>
          <w:rFonts w:ascii="Arial" w:hAnsi="Arial" w:cs="Arial"/>
          <w:lang w:val="en-GB"/>
        </w:rPr>
        <w:t>The Insurance Commission’s human resource planning process is aligned with the objectives set out in our Statement of Corporate Intent (SCI) and Strategic Development Plan (SDP).</w:t>
      </w:r>
    </w:p>
    <w:p w14:paraId="46BA9214" w14:textId="77777777" w:rsidR="009E1A16" w:rsidRPr="00CC12A8" w:rsidRDefault="009E1A16" w:rsidP="009E1A16">
      <w:pPr>
        <w:rPr>
          <w:rFonts w:ascii="Arial" w:hAnsi="Arial" w:cs="Arial"/>
          <w:lang w:val="en-GB"/>
        </w:rPr>
      </w:pPr>
    </w:p>
    <w:p w14:paraId="7E82E559" w14:textId="77777777" w:rsidR="009E1A16" w:rsidRPr="00CC12A8" w:rsidRDefault="009E1A16" w:rsidP="009E1A16">
      <w:pPr>
        <w:rPr>
          <w:rFonts w:ascii="Arial" w:hAnsi="Arial" w:cs="Arial"/>
          <w:lang w:val="en-GB"/>
        </w:rPr>
      </w:pPr>
      <w:r w:rsidRPr="00CC12A8">
        <w:rPr>
          <w:rFonts w:ascii="Arial" w:hAnsi="Arial" w:cs="Arial"/>
          <w:lang w:val="en-GB"/>
        </w:rPr>
        <w:t>A Workforce and Diversity Plan that is linked to the SCI and SDP forecasts internal labour demand and supply, together with strategies to ensure the right people are recruited with the right skills when the business requires them.</w:t>
      </w:r>
    </w:p>
    <w:p w14:paraId="7EA59099" w14:textId="77777777" w:rsidR="009E1A16" w:rsidRPr="00CC12A8" w:rsidRDefault="009E1A16" w:rsidP="009E1A16">
      <w:pPr>
        <w:rPr>
          <w:rFonts w:ascii="Arial" w:hAnsi="Arial" w:cs="Arial"/>
          <w:lang w:val="en-GB"/>
        </w:rPr>
      </w:pPr>
    </w:p>
    <w:p w14:paraId="30A934CB" w14:textId="77777777" w:rsidR="009E1A16" w:rsidRPr="00CC12A8" w:rsidRDefault="009E1A16" w:rsidP="009E1A16">
      <w:pPr>
        <w:rPr>
          <w:rFonts w:ascii="Arial" w:hAnsi="Arial" w:cs="Arial"/>
          <w:lang w:val="en-GB"/>
        </w:rPr>
      </w:pPr>
      <w:r>
        <w:rPr>
          <w:rFonts w:ascii="Arial" w:hAnsi="Arial" w:cs="Arial"/>
          <w:lang w:val="en-GB"/>
        </w:rPr>
        <w:t>The Insurance Commission aims</w:t>
      </w:r>
      <w:r w:rsidRPr="00CC12A8">
        <w:rPr>
          <w:rFonts w:ascii="Arial" w:hAnsi="Arial" w:cs="Arial"/>
          <w:lang w:val="en-GB"/>
        </w:rPr>
        <w:t xml:space="preserve"> to attract, retain and develop a diverse and talented workforce, focusing particularly on increasing the representation of women in senior leadership roles</w:t>
      </w:r>
      <w:r>
        <w:rPr>
          <w:rFonts w:ascii="Arial" w:hAnsi="Arial" w:cs="Arial"/>
          <w:lang w:val="en-GB"/>
        </w:rPr>
        <w:t>, Indigenous Australians</w:t>
      </w:r>
      <w:r w:rsidRPr="00CC12A8">
        <w:rPr>
          <w:rFonts w:ascii="Arial" w:hAnsi="Arial" w:cs="Arial"/>
          <w:lang w:val="en-GB"/>
        </w:rPr>
        <w:t xml:space="preserve"> and the youth cohort – areas where improvement</w:t>
      </w:r>
      <w:r>
        <w:rPr>
          <w:rFonts w:ascii="Arial" w:hAnsi="Arial" w:cs="Arial"/>
          <w:lang w:val="en-GB"/>
        </w:rPr>
        <w:t xml:space="preserve"> in workforce diversity</w:t>
      </w:r>
      <w:r w:rsidRPr="00CC12A8">
        <w:rPr>
          <w:rFonts w:ascii="Arial" w:hAnsi="Arial" w:cs="Arial"/>
          <w:lang w:val="en-GB"/>
        </w:rPr>
        <w:t xml:space="preserve"> is required.</w:t>
      </w:r>
    </w:p>
    <w:p w14:paraId="665B2949" w14:textId="77777777" w:rsidR="009E1A16" w:rsidRPr="00CC12A8" w:rsidRDefault="009E1A16" w:rsidP="009E1A16">
      <w:pPr>
        <w:rPr>
          <w:rFonts w:ascii="Arial" w:hAnsi="Arial" w:cs="Arial"/>
          <w:lang w:val="en-GB"/>
        </w:rPr>
      </w:pPr>
    </w:p>
    <w:p w14:paraId="524BB1AE" w14:textId="77777777" w:rsidR="009E1A16" w:rsidRDefault="009E1A16" w:rsidP="009E1A16">
      <w:pPr>
        <w:rPr>
          <w:rFonts w:ascii="Arial" w:hAnsi="Arial" w:cs="Arial"/>
          <w:lang w:val="en-GB"/>
        </w:rPr>
      </w:pPr>
      <w:r>
        <w:rPr>
          <w:rFonts w:ascii="Arial" w:hAnsi="Arial" w:cs="Arial"/>
          <w:lang w:val="en-GB"/>
        </w:rPr>
        <w:t>The Insurance Commission participated in the public sector’s Voluntary Targeted Separation Scheme (VTSS) with 53 employees (13% of the workforce) accepting offers of voluntary severance.</w:t>
      </w:r>
    </w:p>
    <w:p w14:paraId="3CEC4A16" w14:textId="77777777" w:rsidR="009E1A16" w:rsidRPr="00214A2E" w:rsidRDefault="009E1A16" w:rsidP="009E1A16">
      <w:pPr>
        <w:rPr>
          <w:rFonts w:ascii="Arial" w:hAnsi="Arial" w:cs="Arial"/>
          <w:b/>
          <w:lang w:val="en-GB"/>
        </w:rPr>
      </w:pPr>
    </w:p>
    <w:p w14:paraId="51B93EAF" w14:textId="00957DA0" w:rsidR="009E1A16" w:rsidRPr="009E1A16" w:rsidRDefault="009E1A16" w:rsidP="009E1A16">
      <w:pPr>
        <w:pStyle w:val="ARHeading3"/>
        <w:rPr>
          <w:lang w:val="en-US"/>
        </w:rPr>
      </w:pPr>
      <w:r w:rsidRPr="00214A2E">
        <w:rPr>
          <w:lang w:val="en-US"/>
        </w:rPr>
        <w:t>Workforce Development</w:t>
      </w:r>
    </w:p>
    <w:p w14:paraId="4AA6913F" w14:textId="77777777" w:rsidR="009E1A16" w:rsidRPr="00CC12A8" w:rsidRDefault="009E1A16" w:rsidP="009E1A16">
      <w:pPr>
        <w:rPr>
          <w:rFonts w:ascii="Arial" w:hAnsi="Arial" w:cs="Arial"/>
          <w:lang w:val="en-GB"/>
        </w:rPr>
      </w:pPr>
      <w:r w:rsidRPr="00CC12A8">
        <w:rPr>
          <w:rFonts w:ascii="Arial" w:hAnsi="Arial" w:cs="Arial"/>
          <w:lang w:val="en-GB"/>
        </w:rPr>
        <w:t>The Insurance Commission’s structured learning and development stra</w:t>
      </w:r>
      <w:r>
        <w:rPr>
          <w:rFonts w:ascii="Arial" w:hAnsi="Arial" w:cs="Arial"/>
          <w:lang w:val="en-GB"/>
        </w:rPr>
        <w:t>tegies are designed to equip</w:t>
      </w:r>
      <w:r w:rsidRPr="00CC12A8">
        <w:rPr>
          <w:rFonts w:ascii="Arial" w:hAnsi="Arial" w:cs="Arial"/>
          <w:lang w:val="en-GB"/>
        </w:rPr>
        <w:t xml:space="preserve"> employees with the required skills and knowledge to effectively undertake their current role</w:t>
      </w:r>
      <w:r>
        <w:rPr>
          <w:rFonts w:ascii="Arial" w:hAnsi="Arial" w:cs="Arial"/>
          <w:lang w:val="en-GB"/>
        </w:rPr>
        <w:t>s</w:t>
      </w:r>
      <w:r w:rsidRPr="00CC12A8">
        <w:rPr>
          <w:rFonts w:ascii="Arial" w:hAnsi="Arial" w:cs="Arial"/>
          <w:lang w:val="en-GB"/>
        </w:rPr>
        <w:t xml:space="preserve"> and develop their capabilities for career advancement.</w:t>
      </w:r>
    </w:p>
    <w:p w14:paraId="731EF746" w14:textId="77777777" w:rsidR="009E1A16" w:rsidRPr="00CC12A8" w:rsidRDefault="009E1A16" w:rsidP="009E1A16">
      <w:pPr>
        <w:rPr>
          <w:rFonts w:ascii="Arial" w:hAnsi="Arial" w:cs="Arial"/>
          <w:lang w:val="en-GB"/>
        </w:rPr>
      </w:pPr>
    </w:p>
    <w:p w14:paraId="06012D06" w14:textId="77777777" w:rsidR="009E1A16" w:rsidRPr="00CC12A8" w:rsidRDefault="009E1A16" w:rsidP="009E1A16">
      <w:pPr>
        <w:rPr>
          <w:rFonts w:ascii="Arial" w:hAnsi="Arial" w:cs="Arial"/>
          <w:lang w:val="en-GB"/>
        </w:rPr>
      </w:pPr>
      <w:r w:rsidRPr="00CC12A8">
        <w:rPr>
          <w:rFonts w:ascii="Arial" w:hAnsi="Arial" w:cs="Arial"/>
          <w:lang w:val="en-GB"/>
        </w:rPr>
        <w:t xml:space="preserve">The Insurance Commission </w:t>
      </w:r>
      <w:r>
        <w:rPr>
          <w:rFonts w:ascii="Arial" w:hAnsi="Arial" w:cs="Arial"/>
          <w:lang w:val="en-GB"/>
        </w:rPr>
        <w:t>runs</w:t>
      </w:r>
      <w:r w:rsidRPr="00CC12A8">
        <w:rPr>
          <w:rFonts w:ascii="Arial" w:hAnsi="Arial" w:cs="Arial"/>
          <w:lang w:val="en-GB"/>
        </w:rPr>
        <w:t xml:space="preserve"> its workforce development program across three levels: all staff, leadership group and people managers.</w:t>
      </w:r>
    </w:p>
    <w:p w14:paraId="7628E491" w14:textId="77777777" w:rsidR="009E1A16" w:rsidRPr="00CC12A8" w:rsidRDefault="009E1A16" w:rsidP="009E1A16">
      <w:pPr>
        <w:rPr>
          <w:rFonts w:ascii="Arial" w:hAnsi="Arial" w:cs="Arial"/>
          <w:lang w:val="en-GB"/>
        </w:rPr>
      </w:pPr>
    </w:p>
    <w:p w14:paraId="19D58105" w14:textId="77777777" w:rsidR="009E1A16" w:rsidRPr="00CC12A8" w:rsidRDefault="009E1A16" w:rsidP="009E1A16">
      <w:pPr>
        <w:rPr>
          <w:rFonts w:ascii="Arial" w:hAnsi="Arial" w:cs="Arial"/>
          <w:lang w:val="en-GB"/>
        </w:rPr>
      </w:pPr>
      <w:r>
        <w:rPr>
          <w:rFonts w:ascii="Arial" w:hAnsi="Arial" w:cs="Arial"/>
          <w:lang w:val="en-GB"/>
        </w:rPr>
        <w:t xml:space="preserve">A second intake of employees during the year into </w:t>
      </w:r>
      <w:r w:rsidRPr="00CC12A8">
        <w:rPr>
          <w:rFonts w:ascii="Arial" w:hAnsi="Arial" w:cs="Arial"/>
          <w:lang w:val="en-GB"/>
        </w:rPr>
        <w:t>a formal mentoring program also enhanced employee talent identification and development while supporting workforce diversity initiatives.</w:t>
      </w:r>
    </w:p>
    <w:p w14:paraId="2EC3577D" w14:textId="77777777" w:rsidR="009E1A16" w:rsidRPr="00CC12A8" w:rsidRDefault="009E1A16" w:rsidP="009E1A16">
      <w:pPr>
        <w:rPr>
          <w:rFonts w:ascii="Arial" w:hAnsi="Arial" w:cs="Arial"/>
          <w:lang w:val="en-GB"/>
        </w:rPr>
      </w:pPr>
    </w:p>
    <w:p w14:paraId="17001281" w14:textId="77777777" w:rsidR="009E1A16" w:rsidRDefault="009E1A16" w:rsidP="009E1A16">
      <w:pPr>
        <w:rPr>
          <w:rFonts w:ascii="Arial" w:hAnsi="Arial" w:cs="Arial"/>
          <w:lang w:val="en-GB"/>
        </w:rPr>
      </w:pPr>
      <w:r w:rsidRPr="00CC12A8">
        <w:rPr>
          <w:rFonts w:ascii="Arial" w:hAnsi="Arial" w:cs="Arial"/>
          <w:lang w:val="en-GB"/>
        </w:rPr>
        <w:t>Technical</w:t>
      </w:r>
      <w:r>
        <w:rPr>
          <w:rFonts w:ascii="Arial" w:hAnsi="Arial" w:cs="Arial"/>
          <w:lang w:val="en-GB"/>
        </w:rPr>
        <w:t xml:space="preserve"> and compliance training for the</w:t>
      </w:r>
      <w:r w:rsidRPr="00CC12A8">
        <w:rPr>
          <w:rFonts w:ascii="Arial" w:hAnsi="Arial" w:cs="Arial"/>
          <w:lang w:val="en-GB"/>
        </w:rPr>
        <w:t xml:space="preserve"> insurance claims officer cohort continues to be an important focus for the insurance divisions.</w:t>
      </w:r>
    </w:p>
    <w:p w14:paraId="78D2AC43" w14:textId="77777777" w:rsidR="009E1A16" w:rsidRPr="00CC12A8" w:rsidRDefault="009E1A16" w:rsidP="009E1A16">
      <w:pPr>
        <w:rPr>
          <w:rFonts w:ascii="Arial" w:hAnsi="Arial" w:cs="Arial"/>
          <w:lang w:val="en-GB"/>
        </w:rPr>
      </w:pPr>
    </w:p>
    <w:p w14:paraId="45277888" w14:textId="77777777" w:rsidR="009E1A16" w:rsidRPr="00890D3A" w:rsidRDefault="009E1A16" w:rsidP="009E1A16">
      <w:pPr>
        <w:rPr>
          <w:rFonts w:ascii="Arial" w:hAnsi="Arial" w:cs="Arial"/>
          <w:lang w:val="en-GB"/>
        </w:rPr>
      </w:pPr>
      <w:bookmarkStart w:id="87" w:name="_Toc390680602"/>
      <w:r>
        <w:rPr>
          <w:rFonts w:ascii="Arial" w:hAnsi="Arial" w:cs="Arial"/>
          <w:lang w:val="en-GB"/>
        </w:rPr>
        <w:t xml:space="preserve">The Executive Committee undertook a review of the Insurance Commission’s corporate culture and employee values during the year. The corporate culture was </w:t>
      </w:r>
      <w:r>
        <w:rPr>
          <w:rFonts w:ascii="Arial" w:hAnsi="Arial" w:cs="Arial"/>
          <w:lang w:val="en-GB"/>
        </w:rPr>
        <w:lastRenderedPageBreak/>
        <w:t xml:space="preserve">reset with an increased emphasis on high performance and innovation, and a stronger focus on customers and stakeholders. Employee values were also refreshed to support the desired cultural shift. Encouraging progress has been achieved and the subsequent findings and recommendations from the Service Priority Review of the Public Sector reinforced the direction of the Insurance Commission’s cultural change program. </w:t>
      </w:r>
      <w:bookmarkStart w:id="88" w:name="_Toc390680603"/>
      <w:bookmarkEnd w:id="87"/>
    </w:p>
    <w:p w14:paraId="1647CC5B" w14:textId="77777777" w:rsidR="009E1A16" w:rsidRDefault="009E1A16" w:rsidP="009E1A16">
      <w:pPr>
        <w:rPr>
          <w:rFonts w:ascii="Arial" w:hAnsi="Arial" w:cs="Arial"/>
          <w:b/>
        </w:rPr>
      </w:pPr>
    </w:p>
    <w:p w14:paraId="1EDEE247" w14:textId="77777777" w:rsidR="009E1A16" w:rsidRPr="005C186F" w:rsidRDefault="009E1A16" w:rsidP="009E1A16">
      <w:pPr>
        <w:pStyle w:val="ARHeading3"/>
        <w:pBdr>
          <w:top w:val="single" w:sz="4" w:space="1" w:color="auto"/>
          <w:left w:val="single" w:sz="4" w:space="4" w:color="auto"/>
          <w:bottom w:val="single" w:sz="4" w:space="1" w:color="auto"/>
          <w:right w:val="single" w:sz="4" w:space="4" w:color="auto"/>
        </w:pBdr>
      </w:pPr>
      <w:r w:rsidRPr="005C186F">
        <w:t>Workforce Diversity Initiatives</w:t>
      </w:r>
    </w:p>
    <w:p w14:paraId="679B7730"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szCs w:val="24"/>
        </w:rPr>
      </w:pPr>
      <w:r>
        <w:rPr>
          <w:rFonts w:ascii="Arial" w:hAnsi="Arial" w:cs="Arial"/>
          <w:szCs w:val="24"/>
        </w:rPr>
        <w:t>The Insurance Commission continued to progress initiatives during 2018 to increase the representation of women in senior leadership roles and improve the recruitment and retention of the youth cohort. These initiatives are promoted by an internal Talent Identification Committee and the Human Resources section. Key activities and outcomes achieved in 2018 were:</w:t>
      </w:r>
    </w:p>
    <w:p w14:paraId="076A86E0" w14:textId="77777777" w:rsidR="009E1A16" w:rsidRDefault="009E1A16" w:rsidP="009E1A16">
      <w:pPr>
        <w:pBdr>
          <w:top w:val="single" w:sz="4" w:space="1" w:color="auto"/>
          <w:left w:val="single" w:sz="4" w:space="4" w:color="auto"/>
          <w:bottom w:val="single" w:sz="4" w:space="1" w:color="auto"/>
          <w:right w:val="single" w:sz="4" w:space="4" w:color="auto"/>
        </w:pBdr>
        <w:rPr>
          <w:rFonts w:ascii="Arial" w:hAnsi="Arial" w:cs="Arial"/>
          <w:szCs w:val="24"/>
        </w:rPr>
      </w:pPr>
    </w:p>
    <w:p w14:paraId="52384B85" w14:textId="77777777" w:rsidR="009E1A16" w:rsidRPr="00C20F02" w:rsidRDefault="009E1A16" w:rsidP="009E1A16">
      <w:pPr>
        <w:pBdr>
          <w:top w:val="single" w:sz="4" w:space="1" w:color="auto"/>
          <w:left w:val="single" w:sz="4" w:space="4" w:color="auto"/>
          <w:bottom w:val="single" w:sz="4" w:space="1" w:color="auto"/>
          <w:right w:val="single" w:sz="4" w:space="4" w:color="auto"/>
        </w:pBdr>
        <w:rPr>
          <w:rFonts w:ascii="Arial" w:hAnsi="Arial" w:cs="Arial"/>
          <w:b/>
          <w:szCs w:val="24"/>
        </w:rPr>
      </w:pPr>
      <w:r w:rsidRPr="00C20F02">
        <w:rPr>
          <w:rFonts w:ascii="Arial" w:hAnsi="Arial" w:cs="Arial"/>
          <w:b/>
          <w:szCs w:val="24"/>
        </w:rPr>
        <w:t>Women in Leadership</w:t>
      </w:r>
    </w:p>
    <w:p w14:paraId="54B61A69" w14:textId="77777777" w:rsidR="009E1A16"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sidRPr="009637BF">
        <w:rPr>
          <w:rFonts w:ascii="Arial" w:hAnsi="Arial" w:cs="Arial"/>
        </w:rPr>
        <w:t xml:space="preserve">Increased the number of females in </w:t>
      </w:r>
      <w:r>
        <w:rPr>
          <w:rFonts w:ascii="Arial" w:hAnsi="Arial" w:cs="Arial"/>
        </w:rPr>
        <w:t>leadership roles</w:t>
      </w:r>
      <w:r w:rsidRPr="009637BF">
        <w:rPr>
          <w:rFonts w:ascii="Arial" w:hAnsi="Arial" w:cs="Arial"/>
        </w:rPr>
        <w:t xml:space="preserve"> to 39% from 35% achieved the prior year. </w:t>
      </w:r>
    </w:p>
    <w:p w14:paraId="692019F7" w14:textId="77777777" w:rsidR="009E1A16"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Pr>
          <w:rFonts w:ascii="Arial" w:hAnsi="Arial" w:cs="Arial"/>
        </w:rPr>
        <w:t>Improved succession planning so that at least 40% of senior positions have a female and male successor.</w:t>
      </w:r>
    </w:p>
    <w:p w14:paraId="0F91012F" w14:textId="77777777" w:rsidR="009E1A16"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Pr>
          <w:rFonts w:ascii="Arial" w:hAnsi="Arial" w:cs="Arial"/>
        </w:rPr>
        <w:t>Delivery of women in leadership training to 21 aspiring leaders.</w:t>
      </w:r>
    </w:p>
    <w:p w14:paraId="48E7237E" w14:textId="77777777" w:rsidR="009E1A16"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Pr>
          <w:rFonts w:ascii="Arial" w:hAnsi="Arial" w:cs="Arial"/>
        </w:rPr>
        <w:t>Delivery of a second formal mentoring program for 16 mentees of whom 50% are female.</w:t>
      </w:r>
    </w:p>
    <w:p w14:paraId="6649742F" w14:textId="77777777" w:rsidR="009E1A16"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Pr>
          <w:rFonts w:ascii="Arial" w:hAnsi="Arial" w:cs="Arial"/>
        </w:rPr>
        <w:t>Further promotion of development opportunities across the organisation.</w:t>
      </w:r>
    </w:p>
    <w:p w14:paraId="2AFB1FFE" w14:textId="77777777" w:rsidR="009E1A16" w:rsidRPr="009E3CDA"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sidRPr="009E3CDA">
        <w:rPr>
          <w:rFonts w:ascii="Arial" w:hAnsi="Arial" w:cs="Arial"/>
        </w:rPr>
        <w:t xml:space="preserve">Continued redaction of references to gender in resumes to reduce unconscious bias. This </w:t>
      </w:r>
      <w:r>
        <w:rPr>
          <w:rFonts w:ascii="Arial" w:hAnsi="Arial" w:cs="Arial"/>
        </w:rPr>
        <w:t>contributed to females representing 74% of all candidates assessed as being suitable and recommended for advertised vacancies.</w:t>
      </w:r>
    </w:p>
    <w:p w14:paraId="7F0722D8" w14:textId="77777777" w:rsidR="009E1A16" w:rsidRPr="00C20F02" w:rsidRDefault="009E1A16" w:rsidP="009E1A16">
      <w:pPr>
        <w:pBdr>
          <w:top w:val="single" w:sz="4" w:space="1" w:color="auto"/>
          <w:left w:val="single" w:sz="4" w:space="4" w:color="auto"/>
          <w:bottom w:val="single" w:sz="4" w:space="1" w:color="auto"/>
          <w:right w:val="single" w:sz="4" w:space="4" w:color="auto"/>
        </w:pBdr>
        <w:rPr>
          <w:rFonts w:ascii="Arial" w:hAnsi="Arial" w:cs="Arial"/>
          <w:b/>
          <w:szCs w:val="24"/>
        </w:rPr>
      </w:pPr>
      <w:r w:rsidRPr="00C20F02">
        <w:rPr>
          <w:rFonts w:ascii="Arial" w:hAnsi="Arial" w:cs="Arial"/>
          <w:b/>
          <w:szCs w:val="24"/>
        </w:rPr>
        <w:t>Youth</w:t>
      </w:r>
    </w:p>
    <w:p w14:paraId="4FD0B4ED" w14:textId="77777777" w:rsidR="009E1A16"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sidRPr="009637BF">
        <w:rPr>
          <w:rFonts w:ascii="Arial" w:hAnsi="Arial" w:cs="Arial"/>
        </w:rPr>
        <w:t xml:space="preserve">Increased the youth cohort to 3.8% </w:t>
      </w:r>
      <w:r>
        <w:rPr>
          <w:rFonts w:ascii="Arial" w:hAnsi="Arial" w:cs="Arial"/>
        </w:rPr>
        <w:t xml:space="preserve">from 2.2% achieved the prior year. </w:t>
      </w:r>
    </w:p>
    <w:p w14:paraId="14B9B6B3" w14:textId="77777777" w:rsidR="009E1A16"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sidRPr="009E3CDA">
        <w:rPr>
          <w:rFonts w:ascii="Arial" w:hAnsi="Arial" w:cs="Arial"/>
        </w:rPr>
        <w:t xml:space="preserve">Continued the graduate program, which gives candidates the opportunity to rotate through different areas of the organisation.  </w:t>
      </w:r>
    </w:p>
    <w:p w14:paraId="33A2B942" w14:textId="77777777" w:rsidR="009E1A16"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Pr>
          <w:rFonts w:ascii="Arial" w:hAnsi="Arial" w:cs="Arial"/>
        </w:rPr>
        <w:t>Revised the recruitment process so that selection panels are informed of diversity outcomes being sought from the process, including increasing our youth cohort.</w:t>
      </w:r>
    </w:p>
    <w:p w14:paraId="04A9F6B7" w14:textId="77777777" w:rsidR="009E1A16" w:rsidRPr="009E3CDA" w:rsidRDefault="009E1A16" w:rsidP="009E1A16">
      <w:pPr>
        <w:pStyle w:val="ListParagraph"/>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Arial" w:hAnsi="Arial" w:cs="Arial"/>
        </w:rPr>
      </w:pPr>
      <w:r>
        <w:rPr>
          <w:rFonts w:ascii="Arial" w:hAnsi="Arial" w:cs="Arial"/>
        </w:rPr>
        <w:t xml:space="preserve">Supported youth traineeship programs. </w:t>
      </w:r>
    </w:p>
    <w:p w14:paraId="5C882A46" w14:textId="77777777" w:rsidR="009E1A16" w:rsidRDefault="009E1A16" w:rsidP="009E1A16">
      <w:pPr>
        <w:rPr>
          <w:rFonts w:ascii="Arial" w:hAnsi="Arial" w:cs="Arial"/>
          <w:b/>
        </w:rPr>
      </w:pPr>
    </w:p>
    <w:p w14:paraId="6ECAA4F4" w14:textId="77777777" w:rsidR="009E1A16" w:rsidRDefault="009E1A16" w:rsidP="009E1A16">
      <w:pPr>
        <w:rPr>
          <w:rFonts w:ascii="Arial" w:hAnsi="Arial" w:cs="Arial"/>
          <w:b/>
        </w:rPr>
      </w:pPr>
    </w:p>
    <w:p w14:paraId="1CC5024A" w14:textId="77777777" w:rsidR="009E1A16" w:rsidRDefault="009E1A16" w:rsidP="009E1A16">
      <w:pPr>
        <w:rPr>
          <w:rFonts w:ascii="Arial" w:hAnsi="Arial" w:cs="Arial"/>
          <w:b/>
        </w:rPr>
      </w:pPr>
    </w:p>
    <w:p w14:paraId="4CF58C3A" w14:textId="77777777" w:rsidR="009E1A16" w:rsidRDefault="009E1A16" w:rsidP="009E1A16">
      <w:pPr>
        <w:rPr>
          <w:rFonts w:ascii="Arial" w:hAnsi="Arial" w:cs="Arial"/>
          <w:b/>
        </w:rPr>
      </w:pPr>
    </w:p>
    <w:p w14:paraId="03116185" w14:textId="77777777" w:rsidR="009E1A16" w:rsidRDefault="009E1A16" w:rsidP="009E1A16">
      <w:pPr>
        <w:rPr>
          <w:rFonts w:ascii="Arial" w:hAnsi="Arial" w:cs="Arial"/>
          <w:b/>
        </w:rPr>
      </w:pPr>
    </w:p>
    <w:p w14:paraId="4CD6D3A1" w14:textId="77777777" w:rsidR="009E1A16" w:rsidRDefault="009E1A16" w:rsidP="009E1A16">
      <w:pPr>
        <w:rPr>
          <w:rFonts w:ascii="Arial" w:hAnsi="Arial" w:cs="Arial"/>
          <w:b/>
        </w:rPr>
      </w:pPr>
    </w:p>
    <w:p w14:paraId="688196B0" w14:textId="77777777" w:rsidR="009E1A16" w:rsidRDefault="009E1A16" w:rsidP="009E1A16">
      <w:pPr>
        <w:rPr>
          <w:rFonts w:ascii="Arial" w:hAnsi="Arial" w:cs="Arial"/>
          <w:b/>
        </w:rPr>
      </w:pPr>
    </w:p>
    <w:p w14:paraId="4E7ECE8E" w14:textId="77777777" w:rsidR="009E1A16" w:rsidRDefault="009E1A16" w:rsidP="009E1A16">
      <w:pPr>
        <w:rPr>
          <w:rFonts w:ascii="Arial" w:hAnsi="Arial" w:cs="Arial"/>
          <w:b/>
        </w:rPr>
      </w:pPr>
    </w:p>
    <w:p w14:paraId="71C6F7A6" w14:textId="77777777" w:rsidR="009E1A16" w:rsidRDefault="009E1A16" w:rsidP="009E1A16">
      <w:pPr>
        <w:rPr>
          <w:rFonts w:ascii="Arial" w:hAnsi="Arial" w:cs="Arial"/>
          <w:b/>
        </w:rPr>
      </w:pPr>
    </w:p>
    <w:p w14:paraId="791781E1" w14:textId="77777777" w:rsidR="009E1A16" w:rsidRDefault="009E1A16" w:rsidP="009E1A16">
      <w:pPr>
        <w:rPr>
          <w:rFonts w:ascii="Arial" w:hAnsi="Arial" w:cs="Arial"/>
          <w:b/>
        </w:rPr>
      </w:pPr>
    </w:p>
    <w:p w14:paraId="15DE8835" w14:textId="77777777" w:rsidR="009E1A16" w:rsidRDefault="009E1A16" w:rsidP="009E1A16">
      <w:pPr>
        <w:rPr>
          <w:rFonts w:ascii="Arial" w:hAnsi="Arial" w:cs="Arial"/>
          <w:b/>
        </w:rPr>
      </w:pPr>
    </w:p>
    <w:p w14:paraId="151C0949" w14:textId="77777777" w:rsidR="009E1A16" w:rsidRDefault="009E1A16" w:rsidP="009E1A16">
      <w:pPr>
        <w:rPr>
          <w:rFonts w:ascii="Arial" w:hAnsi="Arial" w:cs="Arial"/>
          <w:b/>
        </w:rPr>
      </w:pPr>
    </w:p>
    <w:p w14:paraId="6F9CF98D" w14:textId="77777777" w:rsidR="009E1A16" w:rsidRPr="00214A2E" w:rsidRDefault="009E1A16" w:rsidP="009E1A16">
      <w:pPr>
        <w:rPr>
          <w:rFonts w:ascii="Arial" w:hAnsi="Arial" w:cs="Arial"/>
          <w:b/>
        </w:rPr>
      </w:pPr>
    </w:p>
    <w:p w14:paraId="5B777575" w14:textId="77777777" w:rsidR="009E1A16" w:rsidRPr="00CC12A8" w:rsidRDefault="009E1A16" w:rsidP="009E1A16">
      <w:pPr>
        <w:pStyle w:val="ARHeading3"/>
      </w:pPr>
      <w:r w:rsidRPr="00CC12A8">
        <w:lastRenderedPageBreak/>
        <w:t>6.3.2</w:t>
      </w:r>
      <w:r w:rsidRPr="00CC12A8">
        <w:tab/>
        <w:t>Board and Committee Remuneration</w:t>
      </w:r>
      <w:bookmarkEnd w:id="88"/>
      <w:r w:rsidRPr="00CC12A8">
        <w:t xml:space="preserve"> and Attendance</w:t>
      </w:r>
    </w:p>
    <w:p w14:paraId="10E1DE67" w14:textId="77777777" w:rsidR="009E1A16" w:rsidRDefault="009E1A16" w:rsidP="009E1A16">
      <w:pPr>
        <w:rPr>
          <w:rFonts w:ascii="Arial" w:hAnsi="Arial" w:cs="Arial"/>
          <w:b/>
          <w:lang w:val="en-US"/>
        </w:rPr>
      </w:pPr>
    </w:p>
    <w:tbl>
      <w:tblPr>
        <w:tblStyle w:val="TableGrid"/>
        <w:tblW w:w="0" w:type="auto"/>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1786"/>
        <w:gridCol w:w="1303"/>
        <w:gridCol w:w="1838"/>
        <w:gridCol w:w="1838"/>
        <w:gridCol w:w="2231"/>
      </w:tblGrid>
      <w:tr w:rsidR="009E1A16" w:rsidRPr="00214A2E" w14:paraId="5BF831A5" w14:textId="77777777" w:rsidTr="009E1A16">
        <w:tc>
          <w:tcPr>
            <w:tcW w:w="1795" w:type="dxa"/>
            <w:shd w:val="clear" w:color="auto" w:fill="44546A" w:themeFill="text2"/>
            <w:vAlign w:val="center"/>
          </w:tcPr>
          <w:p w14:paraId="441DC12D" w14:textId="77777777" w:rsidR="009E1A16" w:rsidRPr="00CC12A8" w:rsidRDefault="009E1A16" w:rsidP="009E1A16">
            <w:pPr>
              <w:jc w:val="left"/>
              <w:rPr>
                <w:rFonts w:ascii="Arial" w:hAnsi="Arial" w:cs="Arial"/>
                <w:b/>
                <w:color w:val="FFFFFF" w:themeColor="background1"/>
                <w:lang w:val="en-US"/>
              </w:rPr>
            </w:pPr>
            <w:r w:rsidRPr="00CC12A8">
              <w:rPr>
                <w:rFonts w:ascii="Arial" w:hAnsi="Arial" w:cs="Arial"/>
                <w:b/>
                <w:color w:val="FFFFFF" w:themeColor="background1"/>
                <w:lang w:val="en-US"/>
              </w:rPr>
              <w:t>POSITION</w:t>
            </w:r>
          </w:p>
        </w:tc>
        <w:tc>
          <w:tcPr>
            <w:tcW w:w="1309" w:type="dxa"/>
            <w:shd w:val="clear" w:color="auto" w:fill="44546A" w:themeFill="text2"/>
            <w:vAlign w:val="center"/>
          </w:tcPr>
          <w:p w14:paraId="4488B82F" w14:textId="77777777" w:rsidR="009E1A16" w:rsidRPr="00CC12A8" w:rsidRDefault="009E1A16" w:rsidP="009E1A16">
            <w:pPr>
              <w:jc w:val="left"/>
              <w:rPr>
                <w:rFonts w:ascii="Arial" w:hAnsi="Arial" w:cs="Arial"/>
                <w:b/>
                <w:color w:val="FFFFFF" w:themeColor="background1"/>
                <w:lang w:val="en-US"/>
              </w:rPr>
            </w:pPr>
            <w:r w:rsidRPr="00CC12A8">
              <w:rPr>
                <w:rFonts w:ascii="Arial" w:hAnsi="Arial" w:cs="Arial"/>
                <w:b/>
                <w:color w:val="FFFFFF" w:themeColor="background1"/>
                <w:lang w:val="en-US"/>
              </w:rPr>
              <w:t>NAME</w:t>
            </w:r>
          </w:p>
        </w:tc>
        <w:tc>
          <w:tcPr>
            <w:tcW w:w="1847" w:type="dxa"/>
            <w:shd w:val="clear" w:color="auto" w:fill="44546A" w:themeFill="text2"/>
            <w:vAlign w:val="center"/>
          </w:tcPr>
          <w:p w14:paraId="4C0EBEF0" w14:textId="77777777" w:rsidR="009E1A16" w:rsidRPr="00CC12A8" w:rsidRDefault="009E1A16" w:rsidP="009E1A16">
            <w:pPr>
              <w:jc w:val="left"/>
              <w:rPr>
                <w:rFonts w:ascii="Arial" w:hAnsi="Arial" w:cs="Arial"/>
                <w:b/>
                <w:color w:val="FFFFFF" w:themeColor="background1"/>
                <w:lang w:val="en-US"/>
              </w:rPr>
            </w:pPr>
            <w:r>
              <w:rPr>
                <w:rFonts w:ascii="Arial" w:hAnsi="Arial" w:cs="Arial"/>
                <w:b/>
                <w:color w:val="FFFFFF" w:themeColor="background1"/>
                <w:lang w:val="en-US"/>
              </w:rPr>
              <w:t>BOARD ATTENDANCE AT 8</w:t>
            </w:r>
            <w:r w:rsidRPr="00CC12A8">
              <w:rPr>
                <w:rFonts w:ascii="Arial" w:hAnsi="Arial" w:cs="Arial"/>
                <w:b/>
                <w:color w:val="FFFFFF" w:themeColor="background1"/>
                <w:lang w:val="en-US"/>
              </w:rPr>
              <w:t xml:space="preserve"> MEETINGS</w:t>
            </w:r>
          </w:p>
        </w:tc>
        <w:tc>
          <w:tcPr>
            <w:tcW w:w="1847" w:type="dxa"/>
            <w:shd w:val="clear" w:color="auto" w:fill="44546A" w:themeFill="text2"/>
            <w:vAlign w:val="center"/>
          </w:tcPr>
          <w:p w14:paraId="6CBFCB2F" w14:textId="77777777" w:rsidR="009E1A16" w:rsidRPr="00CC12A8" w:rsidRDefault="009E1A16" w:rsidP="009E1A16">
            <w:pPr>
              <w:jc w:val="left"/>
              <w:rPr>
                <w:rFonts w:ascii="Arial" w:hAnsi="Arial" w:cs="Arial"/>
                <w:b/>
                <w:color w:val="FFFFFF" w:themeColor="background1"/>
                <w:lang w:val="en-US"/>
              </w:rPr>
            </w:pPr>
            <w:r w:rsidRPr="00CC12A8">
              <w:rPr>
                <w:rFonts w:ascii="Arial" w:hAnsi="Arial" w:cs="Arial"/>
                <w:b/>
                <w:color w:val="FFFFFF" w:themeColor="background1"/>
                <w:lang w:val="en-US"/>
              </w:rPr>
              <w:t>AUDIT AND RISK COMMITTEE ATTENDANCE AT 7 MEETINGS</w:t>
            </w:r>
          </w:p>
        </w:tc>
        <w:tc>
          <w:tcPr>
            <w:tcW w:w="2242" w:type="dxa"/>
            <w:shd w:val="clear" w:color="auto" w:fill="44546A" w:themeFill="text2"/>
            <w:vAlign w:val="center"/>
          </w:tcPr>
          <w:p w14:paraId="14E2CDA7" w14:textId="77777777" w:rsidR="009E1A16" w:rsidRPr="00CC12A8" w:rsidRDefault="009E1A16" w:rsidP="009E1A16">
            <w:pPr>
              <w:jc w:val="left"/>
              <w:rPr>
                <w:rFonts w:ascii="Arial" w:hAnsi="Arial" w:cs="Arial"/>
                <w:b/>
                <w:color w:val="FFFFFF" w:themeColor="background1"/>
                <w:lang w:val="en-US"/>
              </w:rPr>
            </w:pPr>
            <w:r w:rsidRPr="00CC12A8">
              <w:rPr>
                <w:rFonts w:ascii="Arial" w:hAnsi="Arial" w:cs="Arial"/>
                <w:b/>
                <w:color w:val="FFFFFF" w:themeColor="background1"/>
                <w:lang w:val="en-US"/>
              </w:rPr>
              <w:t>GROSS ANNUAL REMUNERATION*</w:t>
            </w:r>
          </w:p>
        </w:tc>
      </w:tr>
      <w:tr w:rsidR="009E1A16" w:rsidRPr="00214A2E" w14:paraId="413813EB" w14:textId="77777777" w:rsidTr="009E1A16">
        <w:tc>
          <w:tcPr>
            <w:tcW w:w="1795" w:type="dxa"/>
            <w:vAlign w:val="center"/>
          </w:tcPr>
          <w:p w14:paraId="5B9566B3" w14:textId="77777777" w:rsidR="009E1A16" w:rsidRPr="00CC12A8" w:rsidRDefault="009E1A16" w:rsidP="009E1A16">
            <w:pPr>
              <w:rPr>
                <w:rFonts w:ascii="Arial" w:hAnsi="Arial" w:cs="Arial"/>
                <w:lang w:val="en-US"/>
              </w:rPr>
            </w:pPr>
            <w:r w:rsidRPr="00CC12A8">
              <w:rPr>
                <w:rFonts w:ascii="Arial" w:hAnsi="Arial" w:cs="Arial"/>
                <w:lang w:val="en-US"/>
              </w:rPr>
              <w:t>Chairman, Member of Audit and Risk Committee</w:t>
            </w:r>
          </w:p>
        </w:tc>
        <w:tc>
          <w:tcPr>
            <w:tcW w:w="1309" w:type="dxa"/>
            <w:vAlign w:val="center"/>
          </w:tcPr>
          <w:p w14:paraId="0D91C01D" w14:textId="77777777" w:rsidR="009E1A16" w:rsidRPr="00CC12A8" w:rsidRDefault="009E1A16" w:rsidP="009E1A16">
            <w:pPr>
              <w:rPr>
                <w:rFonts w:ascii="Arial" w:hAnsi="Arial" w:cs="Arial"/>
                <w:lang w:val="en-US"/>
              </w:rPr>
            </w:pPr>
            <w:r w:rsidRPr="00CC12A8">
              <w:rPr>
                <w:rFonts w:ascii="Arial" w:hAnsi="Arial" w:cs="Arial"/>
                <w:lang w:val="en-US"/>
              </w:rPr>
              <w:t>Frank Cooper AO</w:t>
            </w:r>
          </w:p>
        </w:tc>
        <w:tc>
          <w:tcPr>
            <w:tcW w:w="1847" w:type="dxa"/>
            <w:vAlign w:val="center"/>
          </w:tcPr>
          <w:p w14:paraId="2B83DF45" w14:textId="77777777" w:rsidR="009E1A16" w:rsidRPr="00252F26" w:rsidRDefault="009E1A16" w:rsidP="009E1A16">
            <w:pPr>
              <w:rPr>
                <w:rFonts w:ascii="Arial" w:hAnsi="Arial" w:cs="Arial"/>
                <w:lang w:val="en-US"/>
              </w:rPr>
            </w:pPr>
            <w:r w:rsidRPr="00252F26">
              <w:rPr>
                <w:rFonts w:ascii="Arial" w:hAnsi="Arial" w:cs="Arial"/>
                <w:lang w:val="en-US"/>
              </w:rPr>
              <w:t>8</w:t>
            </w:r>
          </w:p>
        </w:tc>
        <w:tc>
          <w:tcPr>
            <w:tcW w:w="1847" w:type="dxa"/>
            <w:vAlign w:val="center"/>
          </w:tcPr>
          <w:p w14:paraId="7D191F86" w14:textId="77777777" w:rsidR="009E1A16" w:rsidRPr="00252F26" w:rsidRDefault="009E1A16" w:rsidP="009E1A16">
            <w:pPr>
              <w:rPr>
                <w:rFonts w:ascii="Arial" w:hAnsi="Arial" w:cs="Arial"/>
                <w:lang w:val="en-US"/>
              </w:rPr>
            </w:pPr>
            <w:r>
              <w:rPr>
                <w:rFonts w:ascii="Arial" w:hAnsi="Arial" w:cs="Arial"/>
                <w:lang w:val="en-US"/>
              </w:rPr>
              <w:t>5</w:t>
            </w:r>
          </w:p>
        </w:tc>
        <w:tc>
          <w:tcPr>
            <w:tcW w:w="2242" w:type="dxa"/>
            <w:vAlign w:val="center"/>
          </w:tcPr>
          <w:p w14:paraId="47DB4021" w14:textId="77777777" w:rsidR="009E1A16" w:rsidRPr="00890D3A" w:rsidRDefault="009E1A16" w:rsidP="009E1A16">
            <w:pPr>
              <w:rPr>
                <w:rFonts w:ascii="Arial" w:hAnsi="Arial" w:cs="Arial"/>
                <w:lang w:val="en-US"/>
              </w:rPr>
            </w:pPr>
            <w:r>
              <w:rPr>
                <w:rFonts w:ascii="Arial" w:hAnsi="Arial" w:cs="Arial"/>
                <w:lang w:val="en-US"/>
              </w:rPr>
              <w:t>$</w:t>
            </w:r>
            <w:r w:rsidRPr="00890D3A">
              <w:rPr>
                <w:rFonts w:ascii="Arial" w:hAnsi="Arial" w:cs="Arial"/>
                <w:lang w:val="en-US"/>
              </w:rPr>
              <w:t>98,273</w:t>
            </w:r>
          </w:p>
        </w:tc>
      </w:tr>
      <w:tr w:rsidR="009E1A16" w:rsidRPr="00214A2E" w14:paraId="15D06094" w14:textId="77777777" w:rsidTr="009E1A16">
        <w:tc>
          <w:tcPr>
            <w:tcW w:w="1795" w:type="dxa"/>
            <w:vAlign w:val="center"/>
          </w:tcPr>
          <w:p w14:paraId="1F6107B9" w14:textId="77777777" w:rsidR="009E1A16" w:rsidRPr="00CC12A8" w:rsidRDefault="009E1A16" w:rsidP="009E1A16">
            <w:pPr>
              <w:rPr>
                <w:rFonts w:ascii="Arial" w:hAnsi="Arial" w:cs="Arial"/>
                <w:lang w:val="en-US"/>
              </w:rPr>
            </w:pPr>
            <w:r w:rsidRPr="00CC12A8">
              <w:rPr>
                <w:rFonts w:ascii="Arial" w:hAnsi="Arial" w:cs="Arial"/>
                <w:lang w:val="en-US"/>
              </w:rPr>
              <w:t>Deputy Chairman, Chairman of Audit and Risk Committee</w:t>
            </w:r>
          </w:p>
        </w:tc>
        <w:tc>
          <w:tcPr>
            <w:tcW w:w="1309" w:type="dxa"/>
            <w:vAlign w:val="center"/>
          </w:tcPr>
          <w:p w14:paraId="68720684" w14:textId="77777777" w:rsidR="009E1A16" w:rsidRPr="00CC12A8" w:rsidRDefault="009E1A16" w:rsidP="009E1A16">
            <w:pPr>
              <w:rPr>
                <w:rFonts w:ascii="Arial" w:hAnsi="Arial" w:cs="Arial"/>
                <w:lang w:val="en-US"/>
              </w:rPr>
            </w:pPr>
            <w:r w:rsidRPr="00CC12A8">
              <w:rPr>
                <w:rFonts w:ascii="Arial" w:hAnsi="Arial" w:cs="Arial"/>
                <w:lang w:val="en-US"/>
              </w:rPr>
              <w:t>John Scott</w:t>
            </w:r>
          </w:p>
        </w:tc>
        <w:tc>
          <w:tcPr>
            <w:tcW w:w="1847" w:type="dxa"/>
            <w:vAlign w:val="center"/>
          </w:tcPr>
          <w:p w14:paraId="7970ECA3" w14:textId="77777777" w:rsidR="009E1A16" w:rsidRPr="00252F26" w:rsidRDefault="009E1A16" w:rsidP="009E1A16">
            <w:pPr>
              <w:rPr>
                <w:rFonts w:ascii="Arial" w:hAnsi="Arial" w:cs="Arial"/>
                <w:lang w:val="en-US"/>
              </w:rPr>
            </w:pPr>
            <w:r>
              <w:rPr>
                <w:rFonts w:ascii="Arial" w:hAnsi="Arial" w:cs="Arial"/>
                <w:lang w:val="en-US"/>
              </w:rPr>
              <w:t>8</w:t>
            </w:r>
          </w:p>
        </w:tc>
        <w:tc>
          <w:tcPr>
            <w:tcW w:w="1847" w:type="dxa"/>
            <w:vAlign w:val="center"/>
          </w:tcPr>
          <w:p w14:paraId="7C331EA0" w14:textId="77777777" w:rsidR="009E1A16" w:rsidRPr="00252F26" w:rsidRDefault="009E1A16" w:rsidP="009E1A16">
            <w:pPr>
              <w:rPr>
                <w:rFonts w:ascii="Arial" w:hAnsi="Arial" w:cs="Arial"/>
                <w:lang w:val="en-US"/>
              </w:rPr>
            </w:pPr>
            <w:r>
              <w:rPr>
                <w:rFonts w:ascii="Arial" w:hAnsi="Arial" w:cs="Arial"/>
                <w:lang w:val="en-US"/>
              </w:rPr>
              <w:t>7</w:t>
            </w:r>
          </w:p>
        </w:tc>
        <w:tc>
          <w:tcPr>
            <w:tcW w:w="2242" w:type="dxa"/>
            <w:vAlign w:val="center"/>
          </w:tcPr>
          <w:p w14:paraId="502AD23D" w14:textId="77777777" w:rsidR="009E1A16" w:rsidRPr="00890D3A" w:rsidRDefault="009E1A16" w:rsidP="009E1A16">
            <w:pPr>
              <w:rPr>
                <w:rFonts w:ascii="Arial" w:hAnsi="Arial" w:cs="Arial"/>
                <w:lang w:val="en-US"/>
              </w:rPr>
            </w:pPr>
            <w:r>
              <w:rPr>
                <w:rFonts w:ascii="Arial" w:hAnsi="Arial" w:cs="Arial"/>
                <w:lang w:val="en-US"/>
              </w:rPr>
              <w:t>$</w:t>
            </w:r>
            <w:r w:rsidRPr="00890D3A">
              <w:rPr>
                <w:rFonts w:ascii="Arial" w:hAnsi="Arial" w:cs="Arial"/>
                <w:lang w:val="en-US"/>
              </w:rPr>
              <w:t>73,696</w:t>
            </w:r>
          </w:p>
        </w:tc>
      </w:tr>
      <w:tr w:rsidR="009E1A16" w:rsidRPr="00214A2E" w14:paraId="258C931D" w14:textId="77777777" w:rsidTr="009E1A16">
        <w:tc>
          <w:tcPr>
            <w:tcW w:w="1795" w:type="dxa"/>
            <w:vAlign w:val="center"/>
          </w:tcPr>
          <w:p w14:paraId="7615CF40" w14:textId="77777777" w:rsidR="009E1A16" w:rsidRPr="00CC12A8" w:rsidRDefault="009E1A16" w:rsidP="009E1A16">
            <w:pPr>
              <w:rPr>
                <w:rFonts w:ascii="Arial" w:hAnsi="Arial" w:cs="Arial"/>
                <w:lang w:val="en-US"/>
              </w:rPr>
            </w:pPr>
            <w:r w:rsidRPr="00CC12A8">
              <w:rPr>
                <w:rFonts w:ascii="Arial" w:hAnsi="Arial" w:cs="Arial"/>
                <w:lang w:val="en-US"/>
              </w:rPr>
              <w:t>Commissioner, Member of Audit and Risk Committee</w:t>
            </w:r>
          </w:p>
        </w:tc>
        <w:tc>
          <w:tcPr>
            <w:tcW w:w="1309" w:type="dxa"/>
            <w:vAlign w:val="center"/>
          </w:tcPr>
          <w:p w14:paraId="3DBCC103" w14:textId="77777777" w:rsidR="009E1A16" w:rsidRPr="00CC12A8" w:rsidRDefault="009E1A16" w:rsidP="009E1A16">
            <w:pPr>
              <w:rPr>
                <w:rFonts w:ascii="Arial" w:hAnsi="Arial" w:cs="Arial"/>
                <w:lang w:val="en-US"/>
              </w:rPr>
            </w:pPr>
            <w:r w:rsidRPr="00CC12A8">
              <w:rPr>
                <w:rFonts w:ascii="Arial" w:hAnsi="Arial" w:cs="Arial"/>
                <w:lang w:val="en-US"/>
              </w:rPr>
              <w:t>Andrea Hall</w:t>
            </w:r>
          </w:p>
        </w:tc>
        <w:tc>
          <w:tcPr>
            <w:tcW w:w="1847" w:type="dxa"/>
            <w:vAlign w:val="center"/>
          </w:tcPr>
          <w:p w14:paraId="0D456630" w14:textId="77777777" w:rsidR="009E1A16" w:rsidRPr="00252F26" w:rsidRDefault="009E1A16" w:rsidP="009E1A16">
            <w:pPr>
              <w:rPr>
                <w:rFonts w:ascii="Arial" w:hAnsi="Arial" w:cs="Arial"/>
                <w:lang w:val="en-US"/>
              </w:rPr>
            </w:pPr>
            <w:r>
              <w:rPr>
                <w:rFonts w:ascii="Arial" w:hAnsi="Arial" w:cs="Arial"/>
                <w:lang w:val="en-US"/>
              </w:rPr>
              <w:t>8</w:t>
            </w:r>
          </w:p>
        </w:tc>
        <w:tc>
          <w:tcPr>
            <w:tcW w:w="1847" w:type="dxa"/>
            <w:vAlign w:val="center"/>
          </w:tcPr>
          <w:p w14:paraId="3A6DE79A" w14:textId="77777777" w:rsidR="009E1A16" w:rsidRPr="00252F26" w:rsidRDefault="009E1A16" w:rsidP="009E1A16">
            <w:pPr>
              <w:rPr>
                <w:rFonts w:ascii="Arial" w:hAnsi="Arial" w:cs="Arial"/>
                <w:lang w:val="en-US"/>
              </w:rPr>
            </w:pPr>
            <w:r>
              <w:rPr>
                <w:rFonts w:ascii="Arial" w:hAnsi="Arial" w:cs="Arial"/>
                <w:lang w:val="en-US"/>
              </w:rPr>
              <w:t>7</w:t>
            </w:r>
          </w:p>
        </w:tc>
        <w:tc>
          <w:tcPr>
            <w:tcW w:w="2242" w:type="dxa"/>
            <w:vAlign w:val="center"/>
          </w:tcPr>
          <w:p w14:paraId="255AC036" w14:textId="77777777" w:rsidR="009E1A16" w:rsidRPr="00890D3A" w:rsidRDefault="009E1A16" w:rsidP="009E1A16">
            <w:pPr>
              <w:rPr>
                <w:rFonts w:ascii="Arial" w:hAnsi="Arial" w:cs="Arial"/>
                <w:lang w:val="en-US"/>
              </w:rPr>
            </w:pPr>
            <w:r>
              <w:rPr>
                <w:rFonts w:ascii="Arial" w:hAnsi="Arial" w:cs="Arial"/>
                <w:lang w:val="en-US"/>
              </w:rPr>
              <w:t>$</w:t>
            </w:r>
            <w:r w:rsidRPr="00890D3A">
              <w:rPr>
                <w:rFonts w:ascii="Arial" w:hAnsi="Arial" w:cs="Arial"/>
                <w:lang w:val="en-US"/>
              </w:rPr>
              <w:t>49,137</w:t>
            </w:r>
          </w:p>
        </w:tc>
      </w:tr>
      <w:tr w:rsidR="009E1A16" w:rsidRPr="00214A2E" w14:paraId="5CB46E1D" w14:textId="77777777" w:rsidTr="009E1A16">
        <w:tc>
          <w:tcPr>
            <w:tcW w:w="1795" w:type="dxa"/>
            <w:vAlign w:val="center"/>
          </w:tcPr>
          <w:p w14:paraId="1CF47B8E" w14:textId="77777777" w:rsidR="009E1A16" w:rsidRPr="00CC12A8" w:rsidRDefault="009E1A16" w:rsidP="009E1A16">
            <w:pPr>
              <w:rPr>
                <w:rFonts w:ascii="Arial" w:hAnsi="Arial" w:cs="Arial"/>
                <w:lang w:val="en-US"/>
              </w:rPr>
            </w:pPr>
            <w:r w:rsidRPr="00CC12A8">
              <w:rPr>
                <w:rFonts w:ascii="Arial" w:hAnsi="Arial" w:cs="Arial"/>
                <w:lang w:val="en-US"/>
              </w:rPr>
              <w:t xml:space="preserve">Commissioner </w:t>
            </w:r>
          </w:p>
        </w:tc>
        <w:tc>
          <w:tcPr>
            <w:tcW w:w="1309" w:type="dxa"/>
            <w:vAlign w:val="center"/>
          </w:tcPr>
          <w:p w14:paraId="6A34BD04" w14:textId="77777777" w:rsidR="009E1A16" w:rsidRPr="00CC12A8" w:rsidRDefault="009E1A16" w:rsidP="009E1A16">
            <w:pPr>
              <w:rPr>
                <w:rFonts w:ascii="Arial" w:hAnsi="Arial" w:cs="Arial"/>
                <w:lang w:val="en-US"/>
              </w:rPr>
            </w:pPr>
            <w:r w:rsidRPr="00CC12A8">
              <w:rPr>
                <w:rFonts w:ascii="Arial" w:hAnsi="Arial" w:cs="Arial"/>
                <w:lang w:val="en-US"/>
              </w:rPr>
              <w:t>Carol Dolan</w:t>
            </w:r>
            <w:r>
              <w:rPr>
                <w:rFonts w:ascii="Arial" w:hAnsi="Arial" w:cs="Arial"/>
                <w:lang w:val="en-US"/>
              </w:rPr>
              <w:t xml:space="preserve"> #</w:t>
            </w:r>
          </w:p>
        </w:tc>
        <w:tc>
          <w:tcPr>
            <w:tcW w:w="1847" w:type="dxa"/>
            <w:vAlign w:val="center"/>
          </w:tcPr>
          <w:p w14:paraId="044438C5" w14:textId="77777777" w:rsidR="009E1A16" w:rsidRPr="00252F26" w:rsidRDefault="009E1A16" w:rsidP="009E1A16">
            <w:pPr>
              <w:rPr>
                <w:rFonts w:ascii="Arial" w:hAnsi="Arial" w:cs="Arial"/>
                <w:lang w:val="en-US"/>
              </w:rPr>
            </w:pPr>
            <w:r>
              <w:rPr>
                <w:rFonts w:ascii="Arial" w:hAnsi="Arial" w:cs="Arial"/>
                <w:lang w:val="en-US"/>
              </w:rPr>
              <w:t>8</w:t>
            </w:r>
          </w:p>
        </w:tc>
        <w:tc>
          <w:tcPr>
            <w:tcW w:w="1847" w:type="dxa"/>
            <w:vAlign w:val="center"/>
          </w:tcPr>
          <w:p w14:paraId="484289C6" w14:textId="77777777" w:rsidR="009E1A16" w:rsidRPr="00252F26" w:rsidRDefault="009E1A16" w:rsidP="009E1A16">
            <w:pPr>
              <w:rPr>
                <w:rFonts w:ascii="Arial" w:hAnsi="Arial" w:cs="Arial"/>
                <w:lang w:val="en-US"/>
              </w:rPr>
            </w:pPr>
            <w:r>
              <w:rPr>
                <w:rFonts w:ascii="Arial" w:hAnsi="Arial" w:cs="Arial"/>
                <w:lang w:val="en-US"/>
              </w:rPr>
              <w:t>-</w:t>
            </w:r>
          </w:p>
        </w:tc>
        <w:tc>
          <w:tcPr>
            <w:tcW w:w="2242" w:type="dxa"/>
            <w:vAlign w:val="center"/>
          </w:tcPr>
          <w:p w14:paraId="3BAC5137" w14:textId="77777777" w:rsidR="009E1A16" w:rsidRPr="00890D3A" w:rsidRDefault="009E1A16" w:rsidP="009E1A16">
            <w:pPr>
              <w:rPr>
                <w:rFonts w:ascii="Arial" w:hAnsi="Arial" w:cs="Arial"/>
                <w:lang w:val="en-US"/>
              </w:rPr>
            </w:pPr>
            <w:r>
              <w:rPr>
                <w:rFonts w:ascii="Arial" w:hAnsi="Arial" w:cs="Arial"/>
                <w:lang w:val="en-US"/>
              </w:rPr>
              <w:t>$</w:t>
            </w:r>
            <w:r w:rsidRPr="00890D3A">
              <w:rPr>
                <w:rFonts w:ascii="Arial" w:hAnsi="Arial" w:cs="Arial"/>
                <w:lang w:val="en-US"/>
              </w:rPr>
              <w:t>49,137</w:t>
            </w:r>
          </w:p>
        </w:tc>
      </w:tr>
      <w:tr w:rsidR="009E1A16" w:rsidRPr="00214A2E" w14:paraId="10E931F5" w14:textId="77777777" w:rsidTr="009E1A16">
        <w:tc>
          <w:tcPr>
            <w:tcW w:w="1795" w:type="dxa"/>
            <w:vAlign w:val="center"/>
          </w:tcPr>
          <w:p w14:paraId="10F14526" w14:textId="77777777" w:rsidR="009E1A16" w:rsidRPr="00CC12A8" w:rsidRDefault="009E1A16" w:rsidP="009E1A16">
            <w:pPr>
              <w:rPr>
                <w:rFonts w:ascii="Arial" w:hAnsi="Arial" w:cs="Arial"/>
                <w:lang w:val="en-US"/>
              </w:rPr>
            </w:pPr>
            <w:r w:rsidRPr="00CC12A8">
              <w:rPr>
                <w:rFonts w:ascii="Arial" w:hAnsi="Arial" w:cs="Arial"/>
                <w:lang w:val="en-US"/>
              </w:rPr>
              <w:t>Commissioner</w:t>
            </w:r>
          </w:p>
        </w:tc>
        <w:tc>
          <w:tcPr>
            <w:tcW w:w="1309" w:type="dxa"/>
            <w:vAlign w:val="center"/>
          </w:tcPr>
          <w:p w14:paraId="12F68AE4" w14:textId="77777777" w:rsidR="009E1A16" w:rsidRPr="00CC12A8" w:rsidRDefault="009E1A16" w:rsidP="009E1A16">
            <w:pPr>
              <w:rPr>
                <w:rFonts w:ascii="Arial" w:hAnsi="Arial" w:cs="Arial"/>
                <w:lang w:val="en-US"/>
              </w:rPr>
            </w:pPr>
            <w:r w:rsidRPr="00CC12A8">
              <w:rPr>
                <w:rFonts w:ascii="Arial" w:hAnsi="Arial" w:cs="Arial"/>
                <w:lang w:val="en-US"/>
              </w:rPr>
              <w:t xml:space="preserve">Rob </w:t>
            </w:r>
            <w:proofErr w:type="spellStart"/>
            <w:r w:rsidRPr="00CC12A8">
              <w:rPr>
                <w:rFonts w:ascii="Arial" w:hAnsi="Arial" w:cs="Arial"/>
                <w:lang w:val="en-US"/>
              </w:rPr>
              <w:t>Bransby</w:t>
            </w:r>
            <w:proofErr w:type="spellEnd"/>
            <w:r>
              <w:rPr>
                <w:rFonts w:ascii="Arial" w:hAnsi="Arial" w:cs="Arial"/>
                <w:lang w:val="en-US"/>
              </w:rPr>
              <w:t xml:space="preserve"> #</w:t>
            </w:r>
          </w:p>
        </w:tc>
        <w:tc>
          <w:tcPr>
            <w:tcW w:w="1847" w:type="dxa"/>
            <w:vAlign w:val="center"/>
          </w:tcPr>
          <w:p w14:paraId="173AF644" w14:textId="77777777" w:rsidR="009E1A16" w:rsidRPr="00252F26" w:rsidRDefault="009E1A16" w:rsidP="009E1A16">
            <w:pPr>
              <w:rPr>
                <w:rFonts w:ascii="Arial" w:hAnsi="Arial" w:cs="Arial"/>
                <w:lang w:val="en-US"/>
              </w:rPr>
            </w:pPr>
            <w:r>
              <w:rPr>
                <w:rFonts w:ascii="Arial" w:hAnsi="Arial" w:cs="Arial"/>
                <w:lang w:val="en-US"/>
              </w:rPr>
              <w:t>8</w:t>
            </w:r>
          </w:p>
        </w:tc>
        <w:tc>
          <w:tcPr>
            <w:tcW w:w="1847" w:type="dxa"/>
            <w:vAlign w:val="center"/>
          </w:tcPr>
          <w:p w14:paraId="4C065356" w14:textId="77777777" w:rsidR="009E1A16" w:rsidRPr="00252F26" w:rsidRDefault="009E1A16" w:rsidP="009E1A16">
            <w:pPr>
              <w:rPr>
                <w:rFonts w:ascii="Arial" w:hAnsi="Arial" w:cs="Arial"/>
                <w:lang w:val="en-US"/>
              </w:rPr>
            </w:pPr>
            <w:r>
              <w:rPr>
                <w:rFonts w:ascii="Arial" w:hAnsi="Arial" w:cs="Arial"/>
                <w:lang w:val="en-US"/>
              </w:rPr>
              <w:t>-</w:t>
            </w:r>
          </w:p>
        </w:tc>
        <w:tc>
          <w:tcPr>
            <w:tcW w:w="2242" w:type="dxa"/>
            <w:vAlign w:val="center"/>
          </w:tcPr>
          <w:p w14:paraId="29B7F2C5" w14:textId="77777777" w:rsidR="009E1A16" w:rsidRPr="00890D3A" w:rsidRDefault="009E1A16" w:rsidP="009E1A16">
            <w:pPr>
              <w:rPr>
                <w:rFonts w:ascii="Arial" w:hAnsi="Arial" w:cs="Arial"/>
                <w:lang w:val="en-US"/>
              </w:rPr>
            </w:pPr>
            <w:r>
              <w:rPr>
                <w:rFonts w:ascii="Arial" w:hAnsi="Arial" w:cs="Arial"/>
                <w:lang w:val="en-US"/>
              </w:rPr>
              <w:t>$</w:t>
            </w:r>
            <w:r w:rsidRPr="00890D3A">
              <w:rPr>
                <w:rFonts w:ascii="Arial" w:hAnsi="Arial" w:cs="Arial"/>
                <w:lang w:val="en-US"/>
              </w:rPr>
              <w:t>49,137</w:t>
            </w:r>
          </w:p>
        </w:tc>
      </w:tr>
      <w:tr w:rsidR="009E1A16" w:rsidRPr="00214A2E" w14:paraId="64E8C30E" w14:textId="77777777" w:rsidTr="009E1A16">
        <w:tc>
          <w:tcPr>
            <w:tcW w:w="1795" w:type="dxa"/>
            <w:vAlign w:val="center"/>
          </w:tcPr>
          <w:p w14:paraId="5D2E34EE" w14:textId="77777777" w:rsidR="009E1A16" w:rsidRPr="00CC12A8" w:rsidRDefault="009E1A16" w:rsidP="009E1A16">
            <w:pPr>
              <w:rPr>
                <w:rFonts w:ascii="Arial" w:hAnsi="Arial" w:cs="Arial"/>
                <w:lang w:val="en-US"/>
              </w:rPr>
            </w:pPr>
            <w:r w:rsidRPr="00CC12A8">
              <w:rPr>
                <w:rFonts w:ascii="Arial" w:hAnsi="Arial" w:cs="Arial"/>
                <w:lang w:val="en-US"/>
              </w:rPr>
              <w:t>Commissioner</w:t>
            </w:r>
          </w:p>
        </w:tc>
        <w:tc>
          <w:tcPr>
            <w:tcW w:w="1309" w:type="dxa"/>
            <w:vAlign w:val="center"/>
          </w:tcPr>
          <w:p w14:paraId="50B17FC0" w14:textId="77777777" w:rsidR="009E1A16" w:rsidRPr="00CC12A8" w:rsidRDefault="009E1A16" w:rsidP="009E1A16">
            <w:pPr>
              <w:rPr>
                <w:rFonts w:ascii="Arial" w:hAnsi="Arial" w:cs="Arial"/>
                <w:lang w:val="en-US"/>
              </w:rPr>
            </w:pPr>
            <w:r w:rsidRPr="00CC12A8">
              <w:rPr>
                <w:rFonts w:ascii="Arial" w:hAnsi="Arial" w:cs="Arial"/>
                <w:lang w:val="en-US"/>
              </w:rPr>
              <w:t>Yasmin Broughton</w:t>
            </w:r>
            <w:r>
              <w:rPr>
                <w:rFonts w:ascii="Arial" w:hAnsi="Arial" w:cs="Arial"/>
                <w:lang w:val="en-US"/>
              </w:rPr>
              <w:t xml:space="preserve"> #</w:t>
            </w:r>
          </w:p>
        </w:tc>
        <w:tc>
          <w:tcPr>
            <w:tcW w:w="1847" w:type="dxa"/>
            <w:vAlign w:val="center"/>
          </w:tcPr>
          <w:p w14:paraId="447EDB2A" w14:textId="77777777" w:rsidR="009E1A16" w:rsidRPr="00252F26" w:rsidRDefault="009E1A16" w:rsidP="009E1A16">
            <w:pPr>
              <w:rPr>
                <w:rFonts w:ascii="Arial" w:hAnsi="Arial" w:cs="Arial"/>
                <w:lang w:val="en-US"/>
              </w:rPr>
            </w:pPr>
            <w:r>
              <w:rPr>
                <w:rFonts w:ascii="Arial" w:hAnsi="Arial" w:cs="Arial"/>
                <w:lang w:val="en-US"/>
              </w:rPr>
              <w:t>8</w:t>
            </w:r>
          </w:p>
        </w:tc>
        <w:tc>
          <w:tcPr>
            <w:tcW w:w="1847" w:type="dxa"/>
            <w:vAlign w:val="center"/>
          </w:tcPr>
          <w:p w14:paraId="51AAC21C" w14:textId="77777777" w:rsidR="009E1A16" w:rsidRPr="00252F26" w:rsidRDefault="009E1A16" w:rsidP="009E1A16">
            <w:pPr>
              <w:rPr>
                <w:rFonts w:ascii="Arial" w:hAnsi="Arial" w:cs="Arial"/>
                <w:lang w:val="en-US"/>
              </w:rPr>
            </w:pPr>
            <w:r>
              <w:rPr>
                <w:rFonts w:ascii="Arial" w:hAnsi="Arial" w:cs="Arial"/>
                <w:lang w:val="en-US"/>
              </w:rPr>
              <w:t>4</w:t>
            </w:r>
          </w:p>
        </w:tc>
        <w:tc>
          <w:tcPr>
            <w:tcW w:w="2242" w:type="dxa"/>
            <w:vAlign w:val="center"/>
          </w:tcPr>
          <w:p w14:paraId="1EE57C93" w14:textId="77777777" w:rsidR="009E1A16" w:rsidRPr="00890D3A" w:rsidRDefault="009E1A16" w:rsidP="009E1A16">
            <w:pPr>
              <w:rPr>
                <w:rFonts w:ascii="Arial" w:hAnsi="Arial" w:cs="Arial"/>
                <w:lang w:val="en-US"/>
              </w:rPr>
            </w:pPr>
            <w:r>
              <w:rPr>
                <w:rFonts w:ascii="Arial" w:hAnsi="Arial" w:cs="Arial"/>
                <w:lang w:val="en-US"/>
              </w:rPr>
              <w:t>$</w:t>
            </w:r>
            <w:r w:rsidRPr="00890D3A">
              <w:rPr>
                <w:rFonts w:ascii="Arial" w:hAnsi="Arial" w:cs="Arial"/>
                <w:lang w:val="en-US"/>
              </w:rPr>
              <w:t>49,137</w:t>
            </w:r>
          </w:p>
        </w:tc>
      </w:tr>
      <w:tr w:rsidR="009E1A16" w:rsidRPr="00214A2E" w14:paraId="41E7FC57" w14:textId="77777777" w:rsidTr="009E1A16">
        <w:tc>
          <w:tcPr>
            <w:tcW w:w="1795" w:type="dxa"/>
            <w:vAlign w:val="center"/>
          </w:tcPr>
          <w:p w14:paraId="508FDE01" w14:textId="77777777" w:rsidR="009E1A16" w:rsidRPr="00CC12A8" w:rsidRDefault="009E1A16" w:rsidP="009E1A16">
            <w:pPr>
              <w:rPr>
                <w:rFonts w:ascii="Arial" w:hAnsi="Arial" w:cs="Arial"/>
                <w:lang w:val="en-US"/>
              </w:rPr>
            </w:pPr>
            <w:r w:rsidRPr="00CC12A8">
              <w:rPr>
                <w:rFonts w:ascii="Arial" w:hAnsi="Arial" w:cs="Arial"/>
                <w:lang w:val="en-US"/>
              </w:rPr>
              <w:t xml:space="preserve">Chief Executive, Commissioner </w:t>
            </w:r>
            <w:r w:rsidRPr="00CC12A8">
              <w:rPr>
                <w:rFonts w:ascii="Arial" w:hAnsi="Arial" w:cs="Arial"/>
                <w:i/>
                <w:lang w:val="en-US"/>
              </w:rPr>
              <w:t>ex officio</w:t>
            </w:r>
          </w:p>
        </w:tc>
        <w:tc>
          <w:tcPr>
            <w:tcW w:w="1309" w:type="dxa"/>
            <w:vAlign w:val="center"/>
          </w:tcPr>
          <w:p w14:paraId="3A44B81C" w14:textId="77777777" w:rsidR="009E1A16" w:rsidRPr="00CC12A8" w:rsidRDefault="009E1A16" w:rsidP="009E1A16">
            <w:pPr>
              <w:rPr>
                <w:rFonts w:ascii="Arial" w:hAnsi="Arial" w:cs="Arial"/>
                <w:lang w:val="en-US"/>
              </w:rPr>
            </w:pPr>
            <w:r w:rsidRPr="00CC12A8">
              <w:rPr>
                <w:rFonts w:ascii="Arial" w:hAnsi="Arial" w:cs="Arial"/>
                <w:lang w:val="en-US"/>
              </w:rPr>
              <w:t>Rod Whithear</w:t>
            </w:r>
          </w:p>
        </w:tc>
        <w:tc>
          <w:tcPr>
            <w:tcW w:w="1847" w:type="dxa"/>
            <w:vAlign w:val="center"/>
          </w:tcPr>
          <w:p w14:paraId="7957EBA7" w14:textId="77777777" w:rsidR="009E1A16" w:rsidRPr="00252F26" w:rsidRDefault="009E1A16" w:rsidP="009E1A16">
            <w:pPr>
              <w:rPr>
                <w:rFonts w:ascii="Arial" w:hAnsi="Arial" w:cs="Arial"/>
                <w:lang w:val="en-US"/>
              </w:rPr>
            </w:pPr>
            <w:r>
              <w:rPr>
                <w:rFonts w:ascii="Arial" w:hAnsi="Arial" w:cs="Arial"/>
                <w:lang w:val="en-US"/>
              </w:rPr>
              <w:t>8</w:t>
            </w:r>
          </w:p>
        </w:tc>
        <w:tc>
          <w:tcPr>
            <w:tcW w:w="1847" w:type="dxa"/>
            <w:vAlign w:val="center"/>
          </w:tcPr>
          <w:p w14:paraId="3CF84B92" w14:textId="77777777" w:rsidR="009E1A16" w:rsidRPr="00252F26" w:rsidRDefault="009E1A16" w:rsidP="009E1A16">
            <w:pPr>
              <w:rPr>
                <w:rFonts w:ascii="Arial" w:hAnsi="Arial" w:cs="Arial"/>
                <w:lang w:val="en-US"/>
              </w:rPr>
            </w:pPr>
            <w:r>
              <w:rPr>
                <w:rFonts w:ascii="Arial" w:hAnsi="Arial" w:cs="Arial"/>
                <w:lang w:val="en-US"/>
              </w:rPr>
              <w:t>7</w:t>
            </w:r>
          </w:p>
        </w:tc>
        <w:tc>
          <w:tcPr>
            <w:tcW w:w="2242" w:type="dxa"/>
            <w:vAlign w:val="center"/>
          </w:tcPr>
          <w:p w14:paraId="1C77FB14" w14:textId="77777777" w:rsidR="009E1A16" w:rsidRPr="00890D3A" w:rsidRDefault="009E1A16" w:rsidP="009E1A16">
            <w:pPr>
              <w:rPr>
                <w:rFonts w:ascii="Arial" w:hAnsi="Arial" w:cs="Arial"/>
                <w:lang w:val="en-US"/>
              </w:rPr>
            </w:pPr>
            <w:r>
              <w:rPr>
                <w:rFonts w:ascii="Arial" w:hAnsi="Arial" w:cs="Arial"/>
                <w:lang w:val="en-US"/>
              </w:rPr>
              <w:t>$</w:t>
            </w:r>
            <w:r w:rsidRPr="00890D3A">
              <w:rPr>
                <w:rFonts w:ascii="Arial" w:hAnsi="Arial" w:cs="Arial"/>
                <w:lang w:val="en-US"/>
              </w:rPr>
              <w:t>393,445</w:t>
            </w:r>
          </w:p>
        </w:tc>
      </w:tr>
    </w:tbl>
    <w:p w14:paraId="7BC879C8" w14:textId="77777777" w:rsidR="009E1A16" w:rsidRDefault="009E1A16" w:rsidP="009E1A16">
      <w:pPr>
        <w:rPr>
          <w:rFonts w:ascii="Arial" w:hAnsi="Arial" w:cs="Arial"/>
          <w:lang w:val="en-US"/>
        </w:rPr>
      </w:pPr>
      <w:r w:rsidRPr="00CC12A8">
        <w:rPr>
          <w:rFonts w:ascii="Arial" w:hAnsi="Arial" w:cs="Arial"/>
          <w:lang w:val="en-US"/>
        </w:rPr>
        <w:t xml:space="preserve">* Includes superannuation and Fringe Benefits Tax. </w:t>
      </w:r>
    </w:p>
    <w:p w14:paraId="54F4E83D" w14:textId="77777777" w:rsidR="009E1A16" w:rsidRPr="00CC12A8" w:rsidRDefault="009E1A16" w:rsidP="009E1A16">
      <w:pPr>
        <w:rPr>
          <w:rFonts w:ascii="Arial" w:hAnsi="Arial" w:cs="Arial"/>
          <w:lang w:val="en-US"/>
        </w:rPr>
      </w:pPr>
      <w:r>
        <w:rPr>
          <w:rFonts w:ascii="Arial" w:hAnsi="Arial" w:cs="Arial"/>
          <w:lang w:val="en-US"/>
        </w:rPr>
        <w:t xml:space="preserve"># </w:t>
      </w:r>
      <w:proofErr w:type="gramStart"/>
      <w:r>
        <w:rPr>
          <w:rFonts w:ascii="Arial" w:hAnsi="Arial" w:cs="Arial"/>
          <w:lang w:val="en-US"/>
        </w:rPr>
        <w:t>Not</w:t>
      </w:r>
      <w:proofErr w:type="gramEnd"/>
      <w:r>
        <w:rPr>
          <w:rFonts w:ascii="Arial" w:hAnsi="Arial" w:cs="Arial"/>
          <w:lang w:val="en-US"/>
        </w:rPr>
        <w:t xml:space="preserve"> a member of the Audit and Risk Committee.</w:t>
      </w:r>
    </w:p>
    <w:p w14:paraId="527E4C4B" w14:textId="77777777" w:rsidR="009E1A16" w:rsidRDefault="009E1A16" w:rsidP="009E1A16">
      <w:pPr>
        <w:rPr>
          <w:rFonts w:ascii="Arial" w:hAnsi="Arial" w:cs="Arial"/>
          <w:b/>
          <w:lang w:val="en-US"/>
        </w:rPr>
      </w:pPr>
    </w:p>
    <w:p w14:paraId="5241B4CF" w14:textId="77777777" w:rsidR="009E1A16" w:rsidRPr="00214A2E" w:rsidRDefault="009E1A16" w:rsidP="009E1A16">
      <w:pPr>
        <w:rPr>
          <w:rFonts w:ascii="Arial" w:hAnsi="Arial" w:cs="Arial"/>
          <w:b/>
          <w:lang w:val="en-US"/>
        </w:rPr>
      </w:pPr>
    </w:p>
    <w:p w14:paraId="605EEAA2" w14:textId="02010931" w:rsidR="009E1A16" w:rsidRPr="009E1A16" w:rsidRDefault="009E1A16" w:rsidP="009E1A16">
      <w:pPr>
        <w:pStyle w:val="ARHeading3"/>
      </w:pPr>
      <w:bookmarkStart w:id="89" w:name="_Toc390680604"/>
      <w:r w:rsidRPr="00CC12A8">
        <w:t>6.3.3</w:t>
      </w:r>
      <w:r w:rsidRPr="00CC12A8">
        <w:tab/>
        <w:t>Compliance with Public Sector Standards and Ethical Codes</w:t>
      </w:r>
      <w:bookmarkEnd w:id="89"/>
    </w:p>
    <w:p w14:paraId="345C1FB2" w14:textId="77777777" w:rsidR="009E1A16" w:rsidRPr="00BE3CCB" w:rsidRDefault="009E1A16" w:rsidP="009E1A16">
      <w:pPr>
        <w:rPr>
          <w:rFonts w:ascii="Arial" w:hAnsi="Arial" w:cs="Arial"/>
        </w:rPr>
      </w:pPr>
      <w:r w:rsidRPr="00BE3CCB">
        <w:rPr>
          <w:rFonts w:ascii="Arial" w:hAnsi="Arial" w:cs="Arial"/>
        </w:rPr>
        <w:t xml:space="preserve">The Insurance Commission recognises the value of strong governance and is committed to proactive and prudent risk and compliance management in the performance of its functions. </w:t>
      </w:r>
    </w:p>
    <w:p w14:paraId="4D38B725" w14:textId="77777777" w:rsidR="009E1A16" w:rsidRPr="00BE3CCB" w:rsidRDefault="009E1A16" w:rsidP="009E1A16">
      <w:pPr>
        <w:rPr>
          <w:rFonts w:ascii="Arial" w:hAnsi="Arial" w:cs="Arial"/>
        </w:rPr>
      </w:pPr>
    </w:p>
    <w:p w14:paraId="13D6EB39" w14:textId="77777777" w:rsidR="009E1A16" w:rsidRPr="00BE3CCB" w:rsidRDefault="009E1A16" w:rsidP="009E1A16">
      <w:pPr>
        <w:rPr>
          <w:rFonts w:ascii="Arial" w:hAnsi="Arial" w:cs="Arial"/>
        </w:rPr>
      </w:pPr>
      <w:r w:rsidRPr="00BE3CCB">
        <w:rPr>
          <w:rFonts w:ascii="Arial" w:hAnsi="Arial" w:cs="Arial"/>
        </w:rPr>
        <w:t xml:space="preserve">An Audit and Risk Committee assists the Board of Commissioners to monitor and oversee risk and compliance activities. An Internal Audit function provides assurance of the risk management approach adopted by Management and independently reviews risk mitigation actions in key operational areas. An External Audit function provides another level of assurance on risk and compliance management. </w:t>
      </w:r>
    </w:p>
    <w:p w14:paraId="370AA8F3" w14:textId="77777777" w:rsidR="009E1A16" w:rsidRPr="00BE3CCB" w:rsidRDefault="009E1A16" w:rsidP="009E1A16">
      <w:pPr>
        <w:rPr>
          <w:rFonts w:ascii="Arial" w:hAnsi="Arial" w:cs="Arial"/>
        </w:rPr>
      </w:pPr>
    </w:p>
    <w:p w14:paraId="2F003171" w14:textId="77777777" w:rsidR="009E1A16" w:rsidRPr="00BE3CCB" w:rsidRDefault="009E1A16" w:rsidP="009E1A16">
      <w:pPr>
        <w:rPr>
          <w:rFonts w:ascii="Arial" w:hAnsi="Arial" w:cs="Arial"/>
        </w:rPr>
      </w:pPr>
      <w:r w:rsidRPr="00BE3CCB">
        <w:rPr>
          <w:rFonts w:ascii="Arial" w:hAnsi="Arial" w:cs="Arial"/>
        </w:rPr>
        <w:lastRenderedPageBreak/>
        <w:t xml:space="preserve">The Insurance Commission recognises ISO 31000 and ISO 19600 as providing guidance on best practice risk and compliance management, and seeks to align its approach to those standards. </w:t>
      </w:r>
    </w:p>
    <w:p w14:paraId="35759A9C" w14:textId="77777777" w:rsidR="009E1A16" w:rsidRPr="00BE3CCB" w:rsidRDefault="009E1A16" w:rsidP="009E1A16">
      <w:pPr>
        <w:rPr>
          <w:rFonts w:ascii="Arial" w:hAnsi="Arial" w:cs="Arial"/>
        </w:rPr>
      </w:pPr>
    </w:p>
    <w:p w14:paraId="7BB93559" w14:textId="77777777" w:rsidR="009E1A16" w:rsidRDefault="009E1A16" w:rsidP="009E1A16">
      <w:pPr>
        <w:rPr>
          <w:rFonts w:ascii="Arial" w:hAnsi="Arial" w:cs="Arial"/>
        </w:rPr>
      </w:pPr>
      <w:r w:rsidRPr="00BE3CCB">
        <w:rPr>
          <w:rFonts w:ascii="Arial" w:hAnsi="Arial" w:cs="Arial"/>
        </w:rPr>
        <w:t>During the year, the Insurance Commission</w:t>
      </w:r>
      <w:r>
        <w:rPr>
          <w:rFonts w:ascii="Arial" w:hAnsi="Arial" w:cs="Arial"/>
        </w:rPr>
        <w:t xml:space="preserve"> continued to develop its risk and compliance management capability. This included an increased focus on strategic and annual planning and accountability, refinement of its risk appetite statement and improved proactive management of risks to support strong performance.  </w:t>
      </w:r>
    </w:p>
    <w:p w14:paraId="0B40A001" w14:textId="77777777" w:rsidR="009E1A16" w:rsidRPr="00BE3CCB" w:rsidRDefault="009E1A16" w:rsidP="009E1A16">
      <w:pPr>
        <w:rPr>
          <w:rFonts w:ascii="Arial" w:hAnsi="Arial" w:cs="Arial"/>
        </w:rPr>
      </w:pPr>
      <w:r w:rsidRPr="00BE3CCB">
        <w:rPr>
          <w:rFonts w:ascii="Arial" w:hAnsi="Arial" w:cs="Arial"/>
        </w:rPr>
        <w:t xml:space="preserve"> </w:t>
      </w:r>
    </w:p>
    <w:p w14:paraId="494705D4" w14:textId="77777777" w:rsidR="009E1A16" w:rsidRPr="00BE3CCB" w:rsidRDefault="009E1A16" w:rsidP="009E1A16">
      <w:pPr>
        <w:rPr>
          <w:rFonts w:ascii="Arial" w:hAnsi="Arial" w:cs="Arial"/>
        </w:rPr>
      </w:pPr>
      <w:r w:rsidRPr="00BE3CCB">
        <w:rPr>
          <w:rFonts w:ascii="Arial" w:hAnsi="Arial" w:cs="Arial"/>
        </w:rPr>
        <w:t>Further risk information is available in Note 6 of the Financial Statements.</w:t>
      </w:r>
    </w:p>
    <w:p w14:paraId="44B76A16" w14:textId="77777777" w:rsidR="009E1A16" w:rsidRPr="00BE3CCB" w:rsidRDefault="009E1A16" w:rsidP="009E1A16">
      <w:pPr>
        <w:rPr>
          <w:rFonts w:ascii="Arial" w:hAnsi="Arial" w:cs="Arial"/>
        </w:rPr>
      </w:pPr>
    </w:p>
    <w:p w14:paraId="4B6DA030" w14:textId="77777777" w:rsidR="009E1A16" w:rsidRPr="00BE3CCB" w:rsidRDefault="009E1A16" w:rsidP="009E1A16">
      <w:pPr>
        <w:rPr>
          <w:rFonts w:ascii="Arial" w:hAnsi="Arial" w:cs="Arial"/>
        </w:rPr>
      </w:pPr>
      <w:r w:rsidRPr="00BE3CCB">
        <w:rPr>
          <w:rFonts w:ascii="Arial" w:hAnsi="Arial" w:cs="Arial"/>
        </w:rPr>
        <w:t>Existing controls provide reasonable assurance of compliance with public sector standards and ethical codes. The Insurance Commission’s Code of Conduct (Code) is integrated into its induction program and available to staff through an intranet. Awareness training is undertaken for key aspects of the Code, including Accountable and Ethical Decision Making training.</w:t>
      </w:r>
    </w:p>
    <w:p w14:paraId="47A7353E" w14:textId="77777777" w:rsidR="009E1A16" w:rsidRPr="00BE3CCB" w:rsidRDefault="009E1A16" w:rsidP="009E1A16">
      <w:pPr>
        <w:rPr>
          <w:rFonts w:ascii="Arial" w:hAnsi="Arial" w:cs="Arial"/>
        </w:rPr>
      </w:pPr>
    </w:p>
    <w:p w14:paraId="74B26343" w14:textId="77777777" w:rsidR="009E1A16" w:rsidRPr="009A67A5" w:rsidRDefault="009E1A16" w:rsidP="009E1A16">
      <w:pPr>
        <w:rPr>
          <w:rFonts w:ascii="Arial" w:hAnsi="Arial" w:cs="Arial"/>
        </w:rPr>
      </w:pPr>
      <w:r>
        <w:rPr>
          <w:rFonts w:ascii="Arial" w:hAnsi="Arial" w:cs="Arial"/>
        </w:rPr>
        <w:t>During the year, t</w:t>
      </w:r>
      <w:r w:rsidRPr="00BA78A9">
        <w:rPr>
          <w:rFonts w:ascii="Arial" w:hAnsi="Arial" w:cs="Arial"/>
        </w:rPr>
        <w:t>h</w:t>
      </w:r>
      <w:r>
        <w:rPr>
          <w:rFonts w:ascii="Arial" w:hAnsi="Arial" w:cs="Arial"/>
        </w:rPr>
        <w:t xml:space="preserve">ere were no </w:t>
      </w:r>
      <w:r w:rsidRPr="00BA78A9">
        <w:rPr>
          <w:rFonts w:ascii="Arial" w:hAnsi="Arial" w:cs="Arial"/>
        </w:rPr>
        <w:t xml:space="preserve">claims </w:t>
      </w:r>
      <w:r>
        <w:rPr>
          <w:rFonts w:ascii="Arial" w:hAnsi="Arial" w:cs="Arial"/>
        </w:rPr>
        <w:t xml:space="preserve">received </w:t>
      </w:r>
      <w:r w:rsidRPr="00BA78A9">
        <w:rPr>
          <w:rFonts w:ascii="Arial" w:hAnsi="Arial" w:cs="Arial"/>
        </w:rPr>
        <w:t>for breach of</w:t>
      </w:r>
      <w:r>
        <w:rPr>
          <w:rFonts w:ascii="Arial" w:hAnsi="Arial" w:cs="Arial"/>
        </w:rPr>
        <w:t xml:space="preserve"> the Public S</w:t>
      </w:r>
      <w:r w:rsidRPr="00BE3CCB">
        <w:rPr>
          <w:rFonts w:ascii="Arial" w:hAnsi="Arial" w:cs="Arial"/>
        </w:rPr>
        <w:t>ector Standard</w:t>
      </w:r>
      <w:r>
        <w:rPr>
          <w:rFonts w:ascii="Arial" w:hAnsi="Arial" w:cs="Arial"/>
        </w:rPr>
        <w:t>s.</w:t>
      </w:r>
      <w:r w:rsidRPr="00BE3CCB">
        <w:rPr>
          <w:rFonts w:ascii="Arial" w:hAnsi="Arial" w:cs="Arial"/>
        </w:rPr>
        <w:t xml:space="preserve"> </w:t>
      </w:r>
    </w:p>
    <w:p w14:paraId="7A96F613" w14:textId="77777777" w:rsidR="009E1A16" w:rsidRDefault="009E1A16" w:rsidP="009E1A16">
      <w:pPr>
        <w:rPr>
          <w:rFonts w:ascii="Arial" w:hAnsi="Arial" w:cs="Arial"/>
          <w:b/>
        </w:rPr>
      </w:pPr>
      <w:bookmarkStart w:id="90" w:name="_Toc390680606"/>
    </w:p>
    <w:p w14:paraId="380902A6" w14:textId="68DC77CC" w:rsidR="00CC3C51" w:rsidRPr="00CC3C51" w:rsidRDefault="00CC3C51" w:rsidP="00CC3C51">
      <w:pPr>
        <w:pStyle w:val="ARHeading3"/>
        <w:pBdr>
          <w:top w:val="single" w:sz="4" w:space="1" w:color="auto"/>
          <w:left w:val="single" w:sz="4" w:space="4" w:color="auto"/>
          <w:bottom w:val="single" w:sz="4" w:space="1" w:color="auto"/>
          <w:right w:val="single" w:sz="4" w:space="4" w:color="auto"/>
        </w:pBdr>
      </w:pPr>
      <w:r>
        <w:t>Supporting the disability sector</w:t>
      </w:r>
    </w:p>
    <w:p w14:paraId="4CB7738B" w14:textId="77777777" w:rsidR="00CC3C51" w:rsidRDefault="00CC3C51" w:rsidP="00CC3C51">
      <w:pPr>
        <w:pBdr>
          <w:top w:val="single" w:sz="4" w:space="1" w:color="auto"/>
          <w:left w:val="single" w:sz="4" w:space="4" w:color="auto"/>
          <w:bottom w:val="single" w:sz="4" w:space="1" w:color="auto"/>
          <w:right w:val="single" w:sz="4" w:space="4" w:color="auto"/>
        </w:pBdr>
        <w:rPr>
          <w:rFonts w:ascii="Arial" w:hAnsi="Arial" w:cs="Arial"/>
        </w:rPr>
      </w:pPr>
      <w:r w:rsidRPr="00F2049B">
        <w:rPr>
          <w:rFonts w:ascii="Arial" w:hAnsi="Arial" w:cs="Arial"/>
        </w:rPr>
        <w:t>The Insurance Commission sponsored the inaugural Excellence in Innovation Award at the 2018 WA Disability Support Awards to promote innovation in the care sector with the aim of increasing the independence of its clients.</w:t>
      </w:r>
    </w:p>
    <w:p w14:paraId="34D88226" w14:textId="77777777" w:rsidR="00CC3C51" w:rsidRDefault="00CC3C51" w:rsidP="00CC3C51">
      <w:pPr>
        <w:pBdr>
          <w:top w:val="single" w:sz="4" w:space="1" w:color="auto"/>
          <w:left w:val="single" w:sz="4" w:space="4" w:color="auto"/>
          <w:bottom w:val="single" w:sz="4" w:space="1" w:color="auto"/>
          <w:right w:val="single" w:sz="4" w:space="4" w:color="auto"/>
        </w:pBdr>
        <w:rPr>
          <w:rFonts w:ascii="Arial" w:hAnsi="Arial" w:cs="Arial"/>
        </w:rPr>
      </w:pPr>
    </w:p>
    <w:p w14:paraId="7105BFCC" w14:textId="77777777" w:rsidR="00CC3C51" w:rsidRPr="00435F9C" w:rsidRDefault="00CC3C51" w:rsidP="00CC3C51">
      <w:pPr>
        <w:pBdr>
          <w:top w:val="single" w:sz="4" w:space="1" w:color="auto"/>
          <w:left w:val="single" w:sz="4" w:space="4" w:color="auto"/>
          <w:bottom w:val="single" w:sz="4" w:space="1" w:color="auto"/>
          <w:right w:val="single" w:sz="4" w:space="4" w:color="auto"/>
        </w:pBdr>
        <w:rPr>
          <w:rFonts w:ascii="Arial" w:hAnsi="Arial" w:cs="Arial"/>
        </w:rPr>
      </w:pPr>
      <w:r w:rsidRPr="00435F9C">
        <w:rPr>
          <w:rFonts w:ascii="Arial" w:hAnsi="Arial" w:cs="Arial"/>
        </w:rPr>
        <w:t xml:space="preserve">The Insurance Commission presented Koondoola therapist, Ms Holly Bridges, the inaugural Excellence in Innovation Award at the </w:t>
      </w:r>
      <w:r>
        <w:rPr>
          <w:rFonts w:ascii="Arial" w:hAnsi="Arial" w:cs="Arial"/>
        </w:rPr>
        <w:t>2018</w:t>
      </w:r>
      <w:r w:rsidRPr="00435F9C">
        <w:rPr>
          <w:rFonts w:ascii="Arial" w:hAnsi="Arial" w:cs="Arial"/>
        </w:rPr>
        <w:t xml:space="preserve"> WA Disability Support Awards.</w:t>
      </w:r>
    </w:p>
    <w:p w14:paraId="049BE6B4" w14:textId="77777777" w:rsidR="00CC3C51" w:rsidRPr="00435F9C" w:rsidRDefault="00CC3C51" w:rsidP="00CC3C51">
      <w:pPr>
        <w:pBdr>
          <w:top w:val="single" w:sz="4" w:space="1" w:color="auto"/>
          <w:left w:val="single" w:sz="4" w:space="4" w:color="auto"/>
          <w:bottom w:val="single" w:sz="4" w:space="1" w:color="auto"/>
          <w:right w:val="single" w:sz="4" w:space="4" w:color="auto"/>
        </w:pBdr>
        <w:rPr>
          <w:rFonts w:ascii="Arial" w:hAnsi="Arial" w:cs="Arial"/>
        </w:rPr>
      </w:pPr>
    </w:p>
    <w:p w14:paraId="6BEE48F3" w14:textId="77777777" w:rsidR="00CC3C51" w:rsidRPr="00435F9C" w:rsidRDefault="00CC3C51" w:rsidP="00CC3C51">
      <w:pPr>
        <w:pBdr>
          <w:top w:val="single" w:sz="4" w:space="1" w:color="auto"/>
          <w:left w:val="single" w:sz="4" w:space="4" w:color="auto"/>
          <w:bottom w:val="single" w:sz="4" w:space="1" w:color="auto"/>
          <w:right w:val="single" w:sz="4" w:space="4" w:color="auto"/>
        </w:pBdr>
        <w:rPr>
          <w:rFonts w:ascii="Arial" w:hAnsi="Arial" w:cs="Arial"/>
        </w:rPr>
      </w:pPr>
      <w:r w:rsidRPr="00435F9C">
        <w:rPr>
          <w:rFonts w:ascii="Arial" w:hAnsi="Arial" w:cs="Arial"/>
        </w:rPr>
        <w:t>Ms Bridges won the award for her neuroplasticity work that helps people with disabilities improve their phy</w:t>
      </w:r>
      <w:r>
        <w:rPr>
          <w:rFonts w:ascii="Arial" w:hAnsi="Arial" w:cs="Arial"/>
        </w:rPr>
        <w:t>sical and social presentations.</w:t>
      </w:r>
    </w:p>
    <w:p w14:paraId="2F719002" w14:textId="77777777" w:rsidR="00CC3C51" w:rsidRPr="00435F9C" w:rsidRDefault="00CC3C51" w:rsidP="00CC3C51">
      <w:pPr>
        <w:pBdr>
          <w:top w:val="single" w:sz="4" w:space="1" w:color="auto"/>
          <w:left w:val="single" w:sz="4" w:space="4" w:color="auto"/>
          <w:bottom w:val="single" w:sz="4" w:space="1" w:color="auto"/>
          <w:right w:val="single" w:sz="4" w:space="4" w:color="auto"/>
        </w:pBdr>
        <w:rPr>
          <w:rFonts w:ascii="Arial" w:hAnsi="Arial" w:cs="Arial"/>
        </w:rPr>
      </w:pPr>
    </w:p>
    <w:p w14:paraId="32AE6EC6" w14:textId="77777777" w:rsidR="00CC3C51" w:rsidRDefault="00CC3C51" w:rsidP="00CC3C51">
      <w:pPr>
        <w:pBdr>
          <w:top w:val="single" w:sz="4" w:space="1" w:color="auto"/>
          <w:left w:val="single" w:sz="4" w:space="4" w:color="auto"/>
          <w:bottom w:val="single" w:sz="4" w:space="1" w:color="auto"/>
          <w:right w:val="single" w:sz="4" w:space="4" w:color="auto"/>
        </w:pBdr>
        <w:rPr>
          <w:rFonts w:ascii="Arial" w:hAnsi="Arial" w:cs="Arial"/>
        </w:rPr>
      </w:pPr>
      <w:r w:rsidRPr="00435F9C">
        <w:rPr>
          <w:rFonts w:ascii="Arial" w:hAnsi="Arial" w:cs="Arial"/>
        </w:rPr>
        <w:t xml:space="preserve">The three other finalists for the Excellence in Innovation Award were the AT Chat Team from the Independent Living Centre WA, the ROAM Project Team from </w:t>
      </w:r>
      <w:proofErr w:type="spellStart"/>
      <w:r w:rsidRPr="00435F9C">
        <w:rPr>
          <w:rFonts w:ascii="Arial" w:hAnsi="Arial" w:cs="Arial"/>
        </w:rPr>
        <w:t>VisAbility</w:t>
      </w:r>
      <w:proofErr w:type="spellEnd"/>
      <w:r w:rsidRPr="00435F9C">
        <w:rPr>
          <w:rFonts w:ascii="Arial" w:hAnsi="Arial" w:cs="Arial"/>
        </w:rPr>
        <w:t xml:space="preserve"> and Therapy Professional Services – Children’s Services from Rocky Bay.</w:t>
      </w:r>
    </w:p>
    <w:p w14:paraId="7AE769A4" w14:textId="77777777" w:rsidR="009E1A16" w:rsidRDefault="009E1A16" w:rsidP="009E1A16">
      <w:pPr>
        <w:rPr>
          <w:rFonts w:ascii="Arial" w:hAnsi="Arial" w:cs="Arial"/>
          <w:b/>
        </w:rPr>
      </w:pPr>
    </w:p>
    <w:bookmarkEnd w:id="90"/>
    <w:p w14:paraId="082DD88F" w14:textId="7CCA5AC4" w:rsidR="009E1A16" w:rsidRPr="009E1A16" w:rsidRDefault="009E1A16" w:rsidP="009E1A16">
      <w:pPr>
        <w:pStyle w:val="ARHeading3"/>
      </w:pPr>
      <w:r>
        <w:t>6.3.4</w:t>
      </w:r>
      <w:r w:rsidRPr="009F1047">
        <w:tab/>
        <w:t>Disability Access and Inclusion</w:t>
      </w:r>
    </w:p>
    <w:p w14:paraId="61D99FF1" w14:textId="77777777" w:rsidR="009E1A16" w:rsidRDefault="009E1A16" w:rsidP="009E1A16">
      <w:pPr>
        <w:rPr>
          <w:rFonts w:ascii="Arial" w:hAnsi="Arial" w:cs="Arial"/>
        </w:rPr>
      </w:pPr>
      <w:r w:rsidRPr="00184C4A">
        <w:rPr>
          <w:rFonts w:ascii="Arial" w:hAnsi="Arial" w:cs="Arial"/>
        </w:rPr>
        <w:t>The Insurance Commission is committed to</w:t>
      </w:r>
      <w:r>
        <w:rPr>
          <w:rFonts w:ascii="Arial" w:hAnsi="Arial" w:cs="Arial"/>
        </w:rPr>
        <w:t xml:space="preserve"> increasing</w:t>
      </w:r>
      <w:r w:rsidRPr="00184C4A">
        <w:rPr>
          <w:rFonts w:ascii="Arial" w:hAnsi="Arial" w:cs="Arial"/>
        </w:rPr>
        <w:t xml:space="preserve"> awareness of access and inclusion issues and improving our services</w:t>
      </w:r>
      <w:r>
        <w:rPr>
          <w:rFonts w:ascii="Arial" w:hAnsi="Arial" w:cs="Arial"/>
        </w:rPr>
        <w:t xml:space="preserve"> to the community.  </w:t>
      </w:r>
    </w:p>
    <w:p w14:paraId="74D9D104" w14:textId="77777777" w:rsidR="009E1A16" w:rsidRDefault="009E1A16" w:rsidP="009E1A16">
      <w:pPr>
        <w:rPr>
          <w:rFonts w:ascii="Arial" w:hAnsi="Arial" w:cs="Arial"/>
        </w:rPr>
      </w:pPr>
    </w:p>
    <w:p w14:paraId="633478F1" w14:textId="77777777" w:rsidR="009E1A16" w:rsidRDefault="009E1A16" w:rsidP="009E1A16">
      <w:pPr>
        <w:rPr>
          <w:rFonts w:ascii="Arial" w:hAnsi="Arial" w:cs="Arial"/>
        </w:rPr>
      </w:pPr>
      <w:r w:rsidRPr="00184C4A">
        <w:rPr>
          <w:rFonts w:ascii="Arial" w:hAnsi="Arial" w:cs="Arial"/>
        </w:rPr>
        <w:t>Our Disability Access and Inclusion Plan (DAIP) 2014-17 provide</w:t>
      </w:r>
      <w:r>
        <w:rPr>
          <w:rFonts w:ascii="Arial" w:hAnsi="Arial" w:cs="Arial"/>
        </w:rPr>
        <w:t>s</w:t>
      </w:r>
      <w:r w:rsidRPr="00184C4A">
        <w:rPr>
          <w:rFonts w:ascii="Arial" w:hAnsi="Arial" w:cs="Arial"/>
        </w:rPr>
        <w:t xml:space="preserve"> the</w:t>
      </w:r>
      <w:r>
        <w:rPr>
          <w:rFonts w:ascii="Arial" w:hAnsi="Arial" w:cs="Arial"/>
        </w:rPr>
        <w:t xml:space="preserve"> </w:t>
      </w:r>
      <w:r w:rsidRPr="00184C4A">
        <w:rPr>
          <w:rFonts w:ascii="Arial" w:hAnsi="Arial" w:cs="Arial"/>
        </w:rPr>
        <w:t>framework and practical strategies to improve access and inclusion for people with disability</w:t>
      </w:r>
      <w:r>
        <w:rPr>
          <w:rFonts w:ascii="Arial" w:hAnsi="Arial" w:cs="Arial"/>
        </w:rPr>
        <w:t xml:space="preserve"> who engage with our organisation and its services</w:t>
      </w:r>
      <w:r w:rsidRPr="00184C4A">
        <w:rPr>
          <w:rFonts w:ascii="Arial" w:hAnsi="Arial" w:cs="Arial"/>
        </w:rPr>
        <w:t xml:space="preserve">. </w:t>
      </w:r>
    </w:p>
    <w:p w14:paraId="6F10A45E" w14:textId="77777777" w:rsidR="009E1A16" w:rsidRDefault="009E1A16" w:rsidP="009E1A16">
      <w:pPr>
        <w:rPr>
          <w:rFonts w:ascii="Arial" w:hAnsi="Arial" w:cs="Arial"/>
        </w:rPr>
      </w:pPr>
    </w:p>
    <w:p w14:paraId="6C7E9CC9" w14:textId="77777777" w:rsidR="009E1A16" w:rsidRDefault="009E1A16" w:rsidP="009E1A16">
      <w:pPr>
        <w:rPr>
          <w:rFonts w:ascii="Arial" w:hAnsi="Arial" w:cs="Arial"/>
        </w:rPr>
      </w:pPr>
      <w:r>
        <w:rPr>
          <w:rFonts w:ascii="Arial" w:hAnsi="Arial" w:cs="Arial"/>
        </w:rPr>
        <w:t>During the year, the Insurance Commission commenced development of its new DAIP for 2018 to 2022. The Plan has an increased focus on services we provide to people with disability and seeks to improve employment outcomes for people with disability.</w:t>
      </w:r>
    </w:p>
    <w:p w14:paraId="5051C7ED" w14:textId="77777777" w:rsidR="009E1A16" w:rsidRDefault="009E1A16" w:rsidP="009E1A16">
      <w:pPr>
        <w:rPr>
          <w:rFonts w:ascii="Arial" w:hAnsi="Arial" w:cs="Arial"/>
        </w:rPr>
      </w:pPr>
    </w:p>
    <w:p w14:paraId="6C6FA124" w14:textId="77777777" w:rsidR="009E1A16" w:rsidRPr="00F60535" w:rsidRDefault="009E1A16" w:rsidP="009E1A16">
      <w:pPr>
        <w:rPr>
          <w:rFonts w:ascii="Arial" w:hAnsi="Arial" w:cs="Arial"/>
        </w:rPr>
      </w:pPr>
      <w:r w:rsidRPr="009F1047">
        <w:rPr>
          <w:rFonts w:ascii="Arial" w:hAnsi="Arial" w:cs="Arial"/>
        </w:rPr>
        <w:t>In 2018, the Insurance Commission partnered with National Disab</w:t>
      </w:r>
      <w:r>
        <w:rPr>
          <w:rFonts w:ascii="Arial" w:hAnsi="Arial" w:cs="Arial"/>
        </w:rPr>
        <w:t>ilities Services WA to create the</w:t>
      </w:r>
      <w:r w:rsidRPr="009F1047">
        <w:rPr>
          <w:rFonts w:ascii="Arial" w:hAnsi="Arial" w:cs="Arial"/>
        </w:rPr>
        <w:t xml:space="preserve"> ‘Ex</w:t>
      </w:r>
      <w:r>
        <w:rPr>
          <w:rFonts w:ascii="Arial" w:hAnsi="Arial" w:cs="Arial"/>
        </w:rPr>
        <w:t>cellence in Innovation Award’</w:t>
      </w:r>
      <w:r w:rsidRPr="009F1047">
        <w:rPr>
          <w:rFonts w:ascii="Arial" w:hAnsi="Arial" w:cs="Arial"/>
        </w:rPr>
        <w:t xml:space="preserve"> at the WA Disability Support Awards</w:t>
      </w:r>
      <w:r>
        <w:rPr>
          <w:rFonts w:ascii="Arial" w:hAnsi="Arial" w:cs="Arial"/>
        </w:rPr>
        <w:t xml:space="preserve"> </w:t>
      </w:r>
      <w:r w:rsidRPr="00A0211B">
        <w:rPr>
          <w:rFonts w:ascii="Arial" w:hAnsi="Arial" w:cs="Arial"/>
        </w:rPr>
        <w:t>(see above).</w:t>
      </w:r>
    </w:p>
    <w:p w14:paraId="08CF6215" w14:textId="741E93BA" w:rsidR="009E1A16" w:rsidRPr="00184C4A" w:rsidRDefault="009E1A16" w:rsidP="009E1A16">
      <w:pPr>
        <w:rPr>
          <w:rFonts w:ascii="Arial" w:hAnsi="Arial" w:cs="Arial"/>
        </w:rPr>
      </w:pPr>
      <w:r>
        <w:rPr>
          <w:rFonts w:ascii="Arial" w:hAnsi="Arial" w:cs="Arial"/>
        </w:rPr>
        <w:lastRenderedPageBreak/>
        <w:t xml:space="preserve">  </w:t>
      </w:r>
    </w:p>
    <w:p w14:paraId="57AE5CD5" w14:textId="77777777" w:rsidR="009E1A16" w:rsidRPr="00184C4A" w:rsidRDefault="009E1A16" w:rsidP="009E1A16">
      <w:pPr>
        <w:rPr>
          <w:rFonts w:ascii="Arial" w:hAnsi="Arial" w:cs="Arial"/>
        </w:rPr>
      </w:pPr>
      <w:r w:rsidRPr="00184C4A">
        <w:rPr>
          <w:rFonts w:ascii="Arial" w:hAnsi="Arial" w:cs="Arial"/>
        </w:rPr>
        <w:t>The seven DAIP outcomes and our 201</w:t>
      </w:r>
      <w:r>
        <w:rPr>
          <w:rFonts w:ascii="Arial" w:hAnsi="Arial" w:cs="Arial"/>
        </w:rPr>
        <w:t>8</w:t>
      </w:r>
      <w:r w:rsidRPr="00184C4A">
        <w:rPr>
          <w:rFonts w:ascii="Arial" w:hAnsi="Arial" w:cs="Arial"/>
        </w:rPr>
        <w:t xml:space="preserve"> strategies against each outcome are listed below</w:t>
      </w:r>
      <w:r>
        <w:rPr>
          <w:rFonts w:ascii="Arial" w:hAnsi="Arial" w:cs="Arial"/>
        </w:rPr>
        <w:t>.</w:t>
      </w:r>
    </w:p>
    <w:p w14:paraId="572C32F1" w14:textId="77777777" w:rsidR="009E1A16" w:rsidRPr="004515B6" w:rsidRDefault="009E1A16" w:rsidP="009E1A16">
      <w:pPr>
        <w:rPr>
          <w:rFonts w:ascii="Arial" w:hAnsi="Arial" w:cs="Arial"/>
        </w:rPr>
      </w:pPr>
    </w:p>
    <w:p w14:paraId="55AB200A" w14:textId="77777777" w:rsidR="009E1A16" w:rsidRPr="00F3293C" w:rsidRDefault="009E1A16" w:rsidP="009E1A16">
      <w:pPr>
        <w:rPr>
          <w:rFonts w:ascii="Arial" w:hAnsi="Arial" w:cs="Arial"/>
          <w:b/>
          <w:color w:val="2E74B5" w:themeColor="accent1" w:themeShade="BF"/>
        </w:rPr>
      </w:pPr>
      <w:r w:rsidRPr="00F3293C">
        <w:rPr>
          <w:rFonts w:ascii="Arial" w:hAnsi="Arial" w:cs="Arial"/>
          <w:b/>
          <w:color w:val="2E74B5" w:themeColor="accent1" w:themeShade="BF"/>
        </w:rPr>
        <w:t>Outcome 1: People with disability have the same opportunities as other people to access the services and events organised by the Insurance Commission.</w:t>
      </w:r>
    </w:p>
    <w:p w14:paraId="20F90D54" w14:textId="77777777" w:rsidR="009E1A16" w:rsidRPr="004515B6" w:rsidRDefault="009E1A16" w:rsidP="009E1A16">
      <w:pPr>
        <w:rPr>
          <w:rFonts w:ascii="Arial" w:hAnsi="Arial" w:cs="Arial"/>
        </w:rPr>
      </w:pPr>
    </w:p>
    <w:p w14:paraId="0D81265C" w14:textId="77777777" w:rsidR="009E1A16" w:rsidRDefault="009E1A16" w:rsidP="009E1A16">
      <w:pPr>
        <w:rPr>
          <w:rFonts w:ascii="Arial" w:hAnsi="Arial" w:cs="Arial"/>
          <w:color w:val="FF0000"/>
        </w:rPr>
      </w:pPr>
      <w:r w:rsidRPr="004515B6">
        <w:rPr>
          <w:rFonts w:ascii="Arial" w:hAnsi="Arial" w:cs="Arial"/>
          <w:b/>
        </w:rPr>
        <w:t>Action</w:t>
      </w:r>
    </w:p>
    <w:p w14:paraId="2EA95EE8" w14:textId="77777777" w:rsidR="009E1A16" w:rsidRPr="00F77443" w:rsidRDefault="009E1A16" w:rsidP="009E1A16">
      <w:pPr>
        <w:rPr>
          <w:rFonts w:ascii="Arial" w:hAnsi="Arial" w:cs="Arial"/>
          <w:color w:val="ED7D31" w:themeColor="accent2"/>
        </w:rPr>
      </w:pPr>
    </w:p>
    <w:p w14:paraId="32AAA8B3" w14:textId="77777777" w:rsidR="009E1A16" w:rsidRDefault="009E1A16" w:rsidP="009E1A16">
      <w:pPr>
        <w:rPr>
          <w:rFonts w:ascii="Arial" w:hAnsi="Arial" w:cs="Arial"/>
        </w:rPr>
      </w:pPr>
      <w:r>
        <w:rPr>
          <w:rFonts w:ascii="Arial" w:hAnsi="Arial" w:cs="Arial"/>
        </w:rPr>
        <w:t>All</w:t>
      </w:r>
      <w:r w:rsidRPr="00184C4A">
        <w:rPr>
          <w:rFonts w:ascii="Arial" w:hAnsi="Arial" w:cs="Arial"/>
        </w:rPr>
        <w:t xml:space="preserve"> training venues utilised by the Insurance Commission are accessible.</w:t>
      </w:r>
    </w:p>
    <w:p w14:paraId="58169A44" w14:textId="77777777" w:rsidR="009E1A16" w:rsidRDefault="009E1A16" w:rsidP="009E1A16">
      <w:pPr>
        <w:rPr>
          <w:rFonts w:ascii="Arial" w:hAnsi="Arial" w:cs="Arial"/>
        </w:rPr>
      </w:pPr>
    </w:p>
    <w:p w14:paraId="7629083A" w14:textId="77777777" w:rsidR="009E1A16" w:rsidRPr="00184C4A" w:rsidRDefault="009E1A16" w:rsidP="009E1A16">
      <w:pPr>
        <w:rPr>
          <w:rFonts w:ascii="Arial" w:hAnsi="Arial" w:cs="Arial"/>
        </w:rPr>
      </w:pPr>
      <w:r>
        <w:rPr>
          <w:rFonts w:ascii="Arial" w:hAnsi="Arial" w:cs="Arial"/>
        </w:rPr>
        <w:t>Two community workshops were held at National Disability Services WA for providers of care and support services to people with catastrophic injuries within the Catastrophic Injuries Support (CIS) scheme.</w:t>
      </w:r>
      <w:r w:rsidRPr="00184C4A">
        <w:rPr>
          <w:rFonts w:ascii="Arial" w:hAnsi="Arial" w:cs="Arial"/>
        </w:rPr>
        <w:t xml:space="preserve"> </w:t>
      </w:r>
    </w:p>
    <w:p w14:paraId="1F2D9DFF" w14:textId="77777777" w:rsidR="009E1A16" w:rsidRPr="00E857B9" w:rsidRDefault="009E1A16" w:rsidP="009E1A16">
      <w:pPr>
        <w:rPr>
          <w:rFonts w:ascii="Arial" w:hAnsi="Arial" w:cs="Arial"/>
          <w:color w:val="2E74B5" w:themeColor="accent1" w:themeShade="BF"/>
        </w:rPr>
      </w:pPr>
    </w:p>
    <w:p w14:paraId="3412FC1B" w14:textId="77777777" w:rsidR="009E1A16" w:rsidRPr="00F3293C" w:rsidRDefault="009E1A16" w:rsidP="009E1A16">
      <w:pPr>
        <w:rPr>
          <w:rFonts w:ascii="Arial" w:hAnsi="Arial" w:cs="Arial"/>
          <w:b/>
          <w:color w:val="FF0000"/>
        </w:rPr>
      </w:pPr>
      <w:r w:rsidRPr="00F3293C">
        <w:rPr>
          <w:rFonts w:ascii="Arial" w:hAnsi="Arial" w:cs="Arial"/>
          <w:b/>
          <w:color w:val="2E74B5" w:themeColor="accent1" w:themeShade="BF"/>
        </w:rPr>
        <w:t xml:space="preserve">Outcome 2: People with disability have the same opportunity as other people to access the buildings and facilities of the Insurance Commission. </w:t>
      </w:r>
    </w:p>
    <w:p w14:paraId="575E61B0" w14:textId="77777777" w:rsidR="009E1A16" w:rsidRPr="004515B6" w:rsidRDefault="009E1A16" w:rsidP="009E1A16">
      <w:pPr>
        <w:rPr>
          <w:rFonts w:ascii="Arial" w:hAnsi="Arial" w:cs="Arial"/>
        </w:rPr>
      </w:pPr>
    </w:p>
    <w:p w14:paraId="5AD67A86" w14:textId="77777777" w:rsidR="009E1A16" w:rsidRDefault="009E1A16" w:rsidP="009E1A16">
      <w:pPr>
        <w:rPr>
          <w:rFonts w:ascii="Arial" w:hAnsi="Arial" w:cs="Arial"/>
          <w:b/>
        </w:rPr>
      </w:pPr>
      <w:r w:rsidRPr="004515B6">
        <w:rPr>
          <w:rFonts w:ascii="Arial" w:hAnsi="Arial" w:cs="Arial"/>
          <w:b/>
        </w:rPr>
        <w:t>Action</w:t>
      </w:r>
    </w:p>
    <w:p w14:paraId="71273B7F" w14:textId="77777777" w:rsidR="009E1A16" w:rsidRPr="003F1F3D" w:rsidRDefault="009E1A16" w:rsidP="009E1A16">
      <w:pPr>
        <w:rPr>
          <w:rFonts w:ascii="Arial" w:hAnsi="Arial" w:cs="Arial"/>
        </w:rPr>
      </w:pPr>
      <w:r>
        <w:rPr>
          <w:rFonts w:ascii="Arial" w:hAnsi="Arial" w:cs="Arial"/>
        </w:rPr>
        <w:t>Upgraded</w:t>
      </w:r>
      <w:r w:rsidRPr="003F1F3D">
        <w:rPr>
          <w:rFonts w:ascii="Arial" w:hAnsi="Arial" w:cs="Arial"/>
        </w:rPr>
        <w:t xml:space="preserve"> key building</w:t>
      </w:r>
      <w:r>
        <w:rPr>
          <w:rFonts w:ascii="Arial" w:hAnsi="Arial" w:cs="Arial"/>
        </w:rPr>
        <w:t xml:space="preserve"> </w:t>
      </w:r>
      <w:r w:rsidRPr="003F1F3D">
        <w:rPr>
          <w:rFonts w:ascii="Arial" w:hAnsi="Arial" w:cs="Arial"/>
        </w:rPr>
        <w:t>facilities</w:t>
      </w:r>
      <w:r>
        <w:rPr>
          <w:rFonts w:ascii="Arial" w:hAnsi="Arial" w:cs="Arial"/>
        </w:rPr>
        <w:t xml:space="preserve"> to improve access including: </w:t>
      </w:r>
      <w:r w:rsidRPr="003F1F3D">
        <w:rPr>
          <w:rFonts w:ascii="Arial" w:hAnsi="Arial" w:cs="Arial"/>
        </w:rPr>
        <w:t xml:space="preserve"> </w:t>
      </w:r>
      <w:r>
        <w:rPr>
          <w:rFonts w:ascii="Arial" w:hAnsi="Arial" w:cs="Arial"/>
        </w:rPr>
        <w:t xml:space="preserve"> </w:t>
      </w:r>
      <w:r w:rsidRPr="003F1F3D">
        <w:rPr>
          <w:rFonts w:ascii="Arial" w:hAnsi="Arial" w:cs="Arial"/>
        </w:rPr>
        <w:t xml:space="preserve">   </w:t>
      </w:r>
    </w:p>
    <w:p w14:paraId="092268A8" w14:textId="77777777" w:rsidR="009E1A16" w:rsidRPr="003F1F3D" w:rsidRDefault="009E1A16" w:rsidP="009E1A16">
      <w:pPr>
        <w:rPr>
          <w:rFonts w:ascii="Arial" w:hAnsi="Arial" w:cs="Arial"/>
        </w:rPr>
      </w:pPr>
    </w:p>
    <w:p w14:paraId="0815AFB4" w14:textId="77777777" w:rsidR="009E1A16" w:rsidRPr="003F1F3D" w:rsidRDefault="009E1A16" w:rsidP="009E1A16">
      <w:pPr>
        <w:pStyle w:val="ListParagraph"/>
        <w:numPr>
          <w:ilvl w:val="0"/>
          <w:numId w:val="33"/>
        </w:numPr>
        <w:contextualSpacing/>
        <w:jc w:val="both"/>
        <w:rPr>
          <w:rFonts w:ascii="Arial" w:hAnsi="Arial" w:cs="Arial"/>
        </w:rPr>
      </w:pPr>
      <w:r w:rsidRPr="003F1F3D">
        <w:rPr>
          <w:rFonts w:ascii="Arial" w:hAnsi="Arial" w:cs="Arial"/>
        </w:rPr>
        <w:t>Universal accessible meeting room installed.</w:t>
      </w:r>
    </w:p>
    <w:p w14:paraId="4302487C" w14:textId="77777777" w:rsidR="009E1A16" w:rsidRPr="003F1F3D" w:rsidRDefault="009E1A16" w:rsidP="009E1A16">
      <w:pPr>
        <w:rPr>
          <w:rFonts w:ascii="Arial" w:hAnsi="Arial" w:cs="Arial"/>
        </w:rPr>
      </w:pPr>
    </w:p>
    <w:p w14:paraId="49A38A73" w14:textId="77777777" w:rsidR="009E1A16" w:rsidRPr="003F1F3D" w:rsidRDefault="009E1A16" w:rsidP="009E1A16">
      <w:pPr>
        <w:pStyle w:val="ListParagraph"/>
        <w:numPr>
          <w:ilvl w:val="0"/>
          <w:numId w:val="33"/>
        </w:numPr>
        <w:contextualSpacing/>
        <w:jc w:val="both"/>
        <w:rPr>
          <w:rFonts w:ascii="Arial" w:hAnsi="Arial" w:cs="Arial"/>
        </w:rPr>
      </w:pPr>
      <w:r>
        <w:rPr>
          <w:rFonts w:ascii="Arial" w:hAnsi="Arial" w:cs="Arial"/>
        </w:rPr>
        <w:t>Toilets for people with disability upgraded</w:t>
      </w:r>
      <w:r w:rsidRPr="003F1F3D">
        <w:rPr>
          <w:rFonts w:ascii="Arial" w:hAnsi="Arial" w:cs="Arial"/>
        </w:rPr>
        <w:t xml:space="preserve"> to comply with access requirements.</w:t>
      </w:r>
    </w:p>
    <w:p w14:paraId="2203299B" w14:textId="77777777" w:rsidR="009E1A16" w:rsidRPr="003F1F3D" w:rsidRDefault="009E1A16" w:rsidP="009E1A16">
      <w:pPr>
        <w:rPr>
          <w:rFonts w:ascii="Arial" w:hAnsi="Arial" w:cs="Arial"/>
        </w:rPr>
      </w:pPr>
    </w:p>
    <w:p w14:paraId="6E5FF240" w14:textId="77777777" w:rsidR="009E1A16" w:rsidRPr="003F1F3D" w:rsidRDefault="009E1A16" w:rsidP="009E1A16">
      <w:pPr>
        <w:pStyle w:val="ListParagraph"/>
        <w:numPr>
          <w:ilvl w:val="0"/>
          <w:numId w:val="33"/>
        </w:numPr>
        <w:contextualSpacing/>
        <w:jc w:val="both"/>
        <w:rPr>
          <w:rFonts w:ascii="Arial" w:hAnsi="Arial" w:cs="Arial"/>
        </w:rPr>
      </w:pPr>
      <w:r w:rsidRPr="003F1F3D">
        <w:rPr>
          <w:rFonts w:ascii="Arial" w:hAnsi="Arial" w:cs="Arial"/>
        </w:rPr>
        <w:t xml:space="preserve">Installation of automatic swing and sliding doors for </w:t>
      </w:r>
      <w:r>
        <w:rPr>
          <w:rFonts w:ascii="Arial" w:hAnsi="Arial" w:cs="Arial"/>
        </w:rPr>
        <w:t xml:space="preserve">numerous </w:t>
      </w:r>
      <w:r w:rsidRPr="003F1F3D">
        <w:rPr>
          <w:rFonts w:ascii="Arial" w:hAnsi="Arial" w:cs="Arial"/>
        </w:rPr>
        <w:t xml:space="preserve">meeting </w:t>
      </w:r>
      <w:r>
        <w:rPr>
          <w:rFonts w:ascii="Arial" w:hAnsi="Arial" w:cs="Arial"/>
        </w:rPr>
        <w:t xml:space="preserve">and other </w:t>
      </w:r>
      <w:r w:rsidRPr="003F1F3D">
        <w:rPr>
          <w:rFonts w:ascii="Arial" w:hAnsi="Arial" w:cs="Arial"/>
        </w:rPr>
        <w:t xml:space="preserve">rooms </w:t>
      </w:r>
      <w:r>
        <w:rPr>
          <w:rFonts w:ascii="Arial" w:hAnsi="Arial" w:cs="Arial"/>
        </w:rPr>
        <w:t>to improve access</w:t>
      </w:r>
      <w:r w:rsidRPr="003F1F3D">
        <w:rPr>
          <w:rFonts w:ascii="Arial" w:hAnsi="Arial" w:cs="Arial"/>
        </w:rPr>
        <w:t>.</w:t>
      </w:r>
    </w:p>
    <w:p w14:paraId="71DD845F" w14:textId="77777777" w:rsidR="009E1A16" w:rsidRPr="004515B6" w:rsidRDefault="009E1A16" w:rsidP="009E1A16">
      <w:pPr>
        <w:rPr>
          <w:rFonts w:ascii="Arial" w:hAnsi="Arial" w:cs="Arial"/>
        </w:rPr>
      </w:pPr>
    </w:p>
    <w:p w14:paraId="5A2C2BEB" w14:textId="77777777" w:rsidR="009E1A16" w:rsidRPr="00F3293C" w:rsidRDefault="009E1A16" w:rsidP="009E1A16">
      <w:pPr>
        <w:rPr>
          <w:rFonts w:ascii="Arial" w:hAnsi="Arial" w:cs="Arial"/>
          <w:b/>
          <w:color w:val="2E74B5" w:themeColor="accent1" w:themeShade="BF"/>
        </w:rPr>
      </w:pPr>
      <w:r w:rsidRPr="00F3293C">
        <w:rPr>
          <w:rFonts w:ascii="Arial" w:hAnsi="Arial" w:cs="Arial"/>
          <w:b/>
          <w:color w:val="2E74B5" w:themeColor="accent1" w:themeShade="BF"/>
        </w:rPr>
        <w:t xml:space="preserve">Outcome 3: People with disability </w:t>
      </w:r>
      <w:r w:rsidRPr="009157CA">
        <w:rPr>
          <w:rFonts w:ascii="Arial" w:hAnsi="Arial" w:cs="Arial"/>
          <w:b/>
          <w:color w:val="2E74B5" w:themeColor="accent1" w:themeShade="BF"/>
        </w:rPr>
        <w:t>receive information</w:t>
      </w:r>
      <w:r w:rsidRPr="00F3293C">
        <w:rPr>
          <w:rFonts w:ascii="Arial" w:hAnsi="Arial" w:cs="Arial"/>
          <w:b/>
          <w:color w:val="2E74B5" w:themeColor="accent1" w:themeShade="BF"/>
        </w:rPr>
        <w:t xml:space="preserve"> from the Insurance Commission in a format that will enable them to access the information as readily as other people are able to access it. </w:t>
      </w:r>
    </w:p>
    <w:p w14:paraId="6B9DB680" w14:textId="77777777" w:rsidR="009E1A16" w:rsidRPr="004515B6" w:rsidRDefault="009E1A16" w:rsidP="009E1A16">
      <w:pPr>
        <w:rPr>
          <w:rFonts w:ascii="Arial" w:hAnsi="Arial" w:cs="Arial"/>
        </w:rPr>
      </w:pPr>
    </w:p>
    <w:p w14:paraId="1C6F4E6E" w14:textId="77777777" w:rsidR="009E1A16" w:rsidRPr="004515B6" w:rsidRDefault="009E1A16" w:rsidP="009E1A16">
      <w:pPr>
        <w:rPr>
          <w:rFonts w:ascii="Arial" w:hAnsi="Arial" w:cs="Arial"/>
          <w:b/>
        </w:rPr>
      </w:pPr>
      <w:r w:rsidRPr="004515B6">
        <w:rPr>
          <w:rFonts w:ascii="Arial" w:hAnsi="Arial" w:cs="Arial"/>
          <w:b/>
        </w:rPr>
        <w:t>Action</w:t>
      </w:r>
    </w:p>
    <w:p w14:paraId="7520843C" w14:textId="77777777" w:rsidR="009E1A16" w:rsidRPr="00F575AA" w:rsidRDefault="009E1A16" w:rsidP="009E1A16">
      <w:pPr>
        <w:rPr>
          <w:rFonts w:ascii="Arial" w:hAnsi="Arial" w:cs="Arial"/>
        </w:rPr>
      </w:pPr>
      <w:r>
        <w:rPr>
          <w:rFonts w:ascii="Arial" w:hAnsi="Arial" w:cs="Arial"/>
        </w:rPr>
        <w:t xml:space="preserve">The </w:t>
      </w:r>
      <w:r w:rsidRPr="00F575AA">
        <w:rPr>
          <w:rFonts w:ascii="Arial" w:hAnsi="Arial" w:cs="Arial"/>
        </w:rPr>
        <w:t xml:space="preserve">Insurance Commission website meets WCAG 2.0 standards and accessibility guidelines. The website has a disability access audit tool for checking content for compliance with these standards and guidelines. Information and documents are available in alternative formats on request.  </w:t>
      </w:r>
    </w:p>
    <w:p w14:paraId="7B7DED6D" w14:textId="77777777" w:rsidR="009E1A16" w:rsidRPr="004B3643" w:rsidRDefault="009E1A16" w:rsidP="009E1A16">
      <w:pPr>
        <w:rPr>
          <w:rFonts w:ascii="Arial" w:hAnsi="Arial" w:cs="Arial"/>
          <w:color w:val="00B050"/>
        </w:rPr>
      </w:pPr>
    </w:p>
    <w:p w14:paraId="290A63B6" w14:textId="77777777" w:rsidR="009E1A16" w:rsidRPr="00F3293C" w:rsidRDefault="009E1A16" w:rsidP="009E1A16">
      <w:pPr>
        <w:rPr>
          <w:rFonts w:ascii="Arial" w:hAnsi="Arial" w:cs="Arial"/>
          <w:b/>
          <w:color w:val="2E74B5" w:themeColor="accent1" w:themeShade="BF"/>
        </w:rPr>
      </w:pPr>
      <w:r w:rsidRPr="00F3293C">
        <w:rPr>
          <w:rFonts w:ascii="Arial" w:hAnsi="Arial" w:cs="Arial"/>
          <w:b/>
          <w:color w:val="2E74B5" w:themeColor="accent1" w:themeShade="BF"/>
        </w:rPr>
        <w:t>Outcome 4: People with disability receive the same level and quality of service as other people from Insurance Commission employees.</w:t>
      </w:r>
    </w:p>
    <w:p w14:paraId="0EA0135D" w14:textId="77777777" w:rsidR="009E1A16" w:rsidRPr="00E857B9" w:rsidRDefault="009E1A16" w:rsidP="009E1A16">
      <w:pPr>
        <w:rPr>
          <w:rFonts w:ascii="Arial" w:hAnsi="Arial" w:cs="Arial"/>
          <w:color w:val="2E74B5" w:themeColor="accent1" w:themeShade="BF"/>
        </w:rPr>
      </w:pPr>
    </w:p>
    <w:p w14:paraId="2E138CE3" w14:textId="77777777" w:rsidR="009E1A16" w:rsidRPr="004515B6" w:rsidRDefault="009E1A16" w:rsidP="009E1A16">
      <w:pPr>
        <w:rPr>
          <w:rFonts w:ascii="Arial" w:hAnsi="Arial" w:cs="Arial"/>
          <w:b/>
        </w:rPr>
      </w:pPr>
      <w:r w:rsidRPr="004515B6">
        <w:rPr>
          <w:rFonts w:ascii="Arial" w:hAnsi="Arial" w:cs="Arial"/>
          <w:b/>
        </w:rPr>
        <w:t xml:space="preserve">Action </w:t>
      </w:r>
    </w:p>
    <w:p w14:paraId="3F10997C" w14:textId="77777777" w:rsidR="009E1A16" w:rsidRDefault="009E1A16" w:rsidP="009E1A16">
      <w:pPr>
        <w:rPr>
          <w:rFonts w:ascii="Arial" w:hAnsi="Arial" w:cs="Arial"/>
        </w:rPr>
      </w:pPr>
      <w:r>
        <w:rPr>
          <w:rFonts w:ascii="Arial" w:hAnsi="Arial" w:cs="Arial"/>
        </w:rPr>
        <w:t xml:space="preserve">Presentations provided by claimants and service providers to our staff to improve customer service, increase awareness of access and inclusion challenges, and highlight key trends and impacts on our business.  </w:t>
      </w:r>
    </w:p>
    <w:p w14:paraId="7ADD0CA6" w14:textId="77777777" w:rsidR="009E1A16" w:rsidRPr="00F575AA" w:rsidRDefault="009E1A16" w:rsidP="009E1A16">
      <w:pPr>
        <w:rPr>
          <w:rFonts w:ascii="Arial" w:hAnsi="Arial" w:cs="Arial"/>
        </w:rPr>
      </w:pPr>
    </w:p>
    <w:p w14:paraId="0D3B3E02" w14:textId="77777777" w:rsidR="009E1A16" w:rsidRPr="00F575AA" w:rsidRDefault="009E1A16" w:rsidP="009E1A16">
      <w:pPr>
        <w:rPr>
          <w:rFonts w:ascii="Arial" w:hAnsi="Arial" w:cs="Arial"/>
        </w:rPr>
      </w:pPr>
      <w:r w:rsidRPr="00F575AA">
        <w:rPr>
          <w:rFonts w:ascii="Arial" w:hAnsi="Arial" w:cs="Arial"/>
        </w:rPr>
        <w:t xml:space="preserve">Insurance Commission employees participated in the </w:t>
      </w:r>
      <w:r>
        <w:rPr>
          <w:rFonts w:ascii="Arial" w:hAnsi="Arial" w:cs="Arial"/>
        </w:rPr>
        <w:t>W</w:t>
      </w:r>
      <w:r w:rsidRPr="00F575AA">
        <w:rPr>
          <w:rFonts w:ascii="Arial" w:hAnsi="Arial" w:cs="Arial"/>
        </w:rPr>
        <w:t xml:space="preserve">heelchair </w:t>
      </w:r>
      <w:r>
        <w:rPr>
          <w:rFonts w:ascii="Arial" w:hAnsi="Arial" w:cs="Arial"/>
        </w:rPr>
        <w:t>C</w:t>
      </w:r>
      <w:r w:rsidRPr="00F575AA">
        <w:rPr>
          <w:rFonts w:ascii="Arial" w:hAnsi="Arial" w:cs="Arial"/>
        </w:rPr>
        <w:t>hallenge</w:t>
      </w:r>
      <w:r>
        <w:rPr>
          <w:rFonts w:ascii="Arial" w:hAnsi="Arial" w:cs="Arial"/>
        </w:rPr>
        <w:t xml:space="preserve"> during the year</w:t>
      </w:r>
      <w:r w:rsidRPr="00F575AA">
        <w:rPr>
          <w:rFonts w:ascii="Arial" w:hAnsi="Arial" w:cs="Arial"/>
        </w:rPr>
        <w:t>, organised by Rebound WA, to improve understanding of the access needs and challenges of people with disabilit</w:t>
      </w:r>
      <w:r>
        <w:rPr>
          <w:rFonts w:ascii="Arial" w:hAnsi="Arial" w:cs="Arial"/>
        </w:rPr>
        <w:t>y</w:t>
      </w:r>
      <w:r w:rsidRPr="00F575AA">
        <w:rPr>
          <w:rFonts w:ascii="Arial" w:hAnsi="Arial" w:cs="Arial"/>
        </w:rPr>
        <w:t xml:space="preserve"> to assist in providing better services.</w:t>
      </w:r>
    </w:p>
    <w:p w14:paraId="34C69663" w14:textId="77777777" w:rsidR="009E1A16" w:rsidRPr="005D485D" w:rsidRDefault="009E1A16" w:rsidP="009E1A16">
      <w:pPr>
        <w:rPr>
          <w:rFonts w:ascii="Arial" w:hAnsi="Arial" w:cs="Arial"/>
          <w:color w:val="FF0000"/>
        </w:rPr>
      </w:pPr>
    </w:p>
    <w:p w14:paraId="41842EA1" w14:textId="77777777" w:rsidR="009E1A16" w:rsidRPr="00E17B76" w:rsidRDefault="009E1A16" w:rsidP="009E1A16">
      <w:pPr>
        <w:rPr>
          <w:rFonts w:ascii="Arial" w:hAnsi="Arial" w:cs="Arial"/>
        </w:rPr>
      </w:pPr>
      <w:r>
        <w:rPr>
          <w:rFonts w:ascii="Arial" w:hAnsi="Arial" w:cs="Arial"/>
        </w:rPr>
        <w:lastRenderedPageBreak/>
        <w:t>A c</w:t>
      </w:r>
      <w:r w:rsidRPr="00E17B76">
        <w:rPr>
          <w:rFonts w:ascii="Arial" w:hAnsi="Arial" w:cs="Arial"/>
        </w:rPr>
        <w:t>ustomer service program conducted for employees of the Motor</w:t>
      </w:r>
      <w:r>
        <w:rPr>
          <w:rFonts w:ascii="Arial" w:hAnsi="Arial" w:cs="Arial"/>
        </w:rPr>
        <w:t xml:space="preserve"> Injury</w:t>
      </w:r>
      <w:r w:rsidRPr="00E17B76">
        <w:rPr>
          <w:rFonts w:ascii="Arial" w:hAnsi="Arial" w:cs="Arial"/>
        </w:rPr>
        <w:t xml:space="preserve"> Insurance Division to enhance our service delivery</w:t>
      </w:r>
      <w:r>
        <w:rPr>
          <w:rFonts w:ascii="Arial" w:hAnsi="Arial" w:cs="Arial"/>
        </w:rPr>
        <w:t xml:space="preserve"> and improve outcomes for stakeholders.</w:t>
      </w:r>
    </w:p>
    <w:p w14:paraId="06FDA817" w14:textId="77777777" w:rsidR="009E1A16" w:rsidRPr="004515B6" w:rsidRDefault="009E1A16" w:rsidP="009E1A16">
      <w:pPr>
        <w:rPr>
          <w:rFonts w:ascii="Arial" w:hAnsi="Arial" w:cs="Arial"/>
        </w:rPr>
      </w:pPr>
    </w:p>
    <w:p w14:paraId="4C26266A" w14:textId="77777777" w:rsidR="009E1A16" w:rsidRPr="00F3293C" w:rsidRDefault="009E1A16" w:rsidP="009E1A16">
      <w:pPr>
        <w:rPr>
          <w:rFonts w:ascii="Arial" w:hAnsi="Arial" w:cs="Arial"/>
          <w:b/>
          <w:color w:val="2E74B5" w:themeColor="accent1" w:themeShade="BF"/>
        </w:rPr>
      </w:pPr>
      <w:r w:rsidRPr="00F3293C">
        <w:rPr>
          <w:rFonts w:ascii="Arial" w:hAnsi="Arial" w:cs="Arial"/>
          <w:b/>
          <w:color w:val="2E74B5" w:themeColor="accent1" w:themeShade="BF"/>
        </w:rPr>
        <w:t>Outcome 5: People with disability have the same opportunities as other people to make complaints to the Insurance Commission.</w:t>
      </w:r>
    </w:p>
    <w:p w14:paraId="6E9C82DA" w14:textId="77777777" w:rsidR="009E1A16" w:rsidRPr="004515B6" w:rsidRDefault="009E1A16" w:rsidP="009E1A16">
      <w:pPr>
        <w:rPr>
          <w:rFonts w:ascii="Arial" w:hAnsi="Arial" w:cs="Arial"/>
        </w:rPr>
      </w:pPr>
    </w:p>
    <w:p w14:paraId="0554D6F1" w14:textId="77777777" w:rsidR="009E1A16" w:rsidRPr="004515B6" w:rsidRDefault="009E1A16" w:rsidP="009E1A16">
      <w:pPr>
        <w:rPr>
          <w:rFonts w:ascii="Arial" w:hAnsi="Arial" w:cs="Arial"/>
          <w:b/>
        </w:rPr>
      </w:pPr>
      <w:r w:rsidRPr="004515B6">
        <w:rPr>
          <w:rFonts w:ascii="Arial" w:hAnsi="Arial" w:cs="Arial"/>
          <w:b/>
        </w:rPr>
        <w:t>Action</w:t>
      </w:r>
    </w:p>
    <w:p w14:paraId="22C684D7" w14:textId="77777777" w:rsidR="009E1A16" w:rsidRPr="006E11FB" w:rsidRDefault="009E1A16" w:rsidP="009E1A16">
      <w:pPr>
        <w:rPr>
          <w:rFonts w:ascii="Arial" w:hAnsi="Arial" w:cs="Arial"/>
        </w:rPr>
      </w:pPr>
      <w:r>
        <w:rPr>
          <w:rFonts w:ascii="Arial" w:hAnsi="Arial" w:cs="Arial"/>
        </w:rPr>
        <w:t xml:space="preserve">The </w:t>
      </w:r>
      <w:r w:rsidRPr="006E11FB">
        <w:rPr>
          <w:rFonts w:ascii="Arial" w:hAnsi="Arial" w:cs="Arial"/>
        </w:rPr>
        <w:t xml:space="preserve">Complaints Handling Policy and Procedure </w:t>
      </w:r>
      <w:r>
        <w:rPr>
          <w:rFonts w:ascii="Arial" w:hAnsi="Arial" w:cs="Arial"/>
        </w:rPr>
        <w:t>was</w:t>
      </w:r>
      <w:r w:rsidRPr="006E11FB">
        <w:rPr>
          <w:rFonts w:ascii="Arial" w:hAnsi="Arial" w:cs="Arial"/>
        </w:rPr>
        <w:t xml:space="preserve"> reviewed in accordance with Australian Standards and industry best practice.</w:t>
      </w:r>
      <w:r w:rsidRPr="00271CE6">
        <w:rPr>
          <w:rFonts w:ascii="Arial" w:hAnsi="Arial" w:cs="Arial"/>
        </w:rPr>
        <w:t xml:space="preserve"> </w:t>
      </w:r>
      <w:r w:rsidRPr="006B79B2">
        <w:rPr>
          <w:rFonts w:ascii="Arial" w:hAnsi="Arial" w:cs="Arial"/>
        </w:rPr>
        <w:t>Complaints can be made via website, phone, email or face to face.</w:t>
      </w:r>
    </w:p>
    <w:p w14:paraId="34E2E2CE" w14:textId="77777777" w:rsidR="009E1A16" w:rsidRPr="006B79B2" w:rsidRDefault="009E1A16" w:rsidP="009E1A16">
      <w:pPr>
        <w:rPr>
          <w:rFonts w:ascii="Arial" w:hAnsi="Arial" w:cs="Arial"/>
        </w:rPr>
      </w:pPr>
    </w:p>
    <w:p w14:paraId="7F23C33C" w14:textId="77777777" w:rsidR="009E1A16" w:rsidRPr="006B79B2" w:rsidRDefault="009E1A16" w:rsidP="009E1A16">
      <w:pPr>
        <w:rPr>
          <w:rFonts w:ascii="Arial" w:hAnsi="Arial" w:cs="Arial"/>
        </w:rPr>
      </w:pPr>
      <w:r>
        <w:rPr>
          <w:rFonts w:ascii="Arial" w:hAnsi="Arial" w:cs="Arial"/>
        </w:rPr>
        <w:t xml:space="preserve">The </w:t>
      </w:r>
      <w:r w:rsidRPr="006B79B2">
        <w:rPr>
          <w:rFonts w:ascii="Arial" w:hAnsi="Arial" w:cs="Arial"/>
        </w:rPr>
        <w:t xml:space="preserve">Insurance Commission website is accessible via mobile devices and screen readers. </w:t>
      </w:r>
    </w:p>
    <w:p w14:paraId="1A05E32A" w14:textId="77777777" w:rsidR="009E1A16" w:rsidRPr="004515B6" w:rsidRDefault="009E1A16" w:rsidP="009E1A16">
      <w:pPr>
        <w:rPr>
          <w:rFonts w:ascii="Arial" w:hAnsi="Arial" w:cs="Arial"/>
        </w:rPr>
      </w:pPr>
    </w:p>
    <w:p w14:paraId="6EE87A3A" w14:textId="77777777" w:rsidR="009E1A16" w:rsidRPr="00F3293C" w:rsidRDefault="009E1A16" w:rsidP="009E1A16">
      <w:pPr>
        <w:rPr>
          <w:rFonts w:ascii="Arial" w:hAnsi="Arial" w:cs="Arial"/>
          <w:b/>
          <w:color w:val="2E74B5" w:themeColor="accent1" w:themeShade="BF"/>
        </w:rPr>
      </w:pPr>
      <w:r w:rsidRPr="00F3293C">
        <w:rPr>
          <w:rFonts w:ascii="Arial" w:hAnsi="Arial" w:cs="Arial"/>
          <w:b/>
          <w:color w:val="2E74B5" w:themeColor="accent1" w:themeShade="BF"/>
        </w:rPr>
        <w:t xml:space="preserve">Outcome 6: People with disability have the same opportunities as other people to participate in any public consultation that the Insurance Commission may undertake.  </w:t>
      </w:r>
    </w:p>
    <w:p w14:paraId="67A5F735" w14:textId="77777777" w:rsidR="009E1A16" w:rsidRPr="004515B6" w:rsidRDefault="009E1A16" w:rsidP="009E1A16">
      <w:pPr>
        <w:rPr>
          <w:rFonts w:ascii="Arial" w:hAnsi="Arial" w:cs="Arial"/>
        </w:rPr>
      </w:pPr>
    </w:p>
    <w:p w14:paraId="65099B12" w14:textId="77777777" w:rsidR="009E1A16" w:rsidRPr="004515B6" w:rsidRDefault="009E1A16" w:rsidP="009E1A16">
      <w:pPr>
        <w:rPr>
          <w:rFonts w:ascii="Arial" w:hAnsi="Arial" w:cs="Arial"/>
          <w:b/>
        </w:rPr>
      </w:pPr>
      <w:r w:rsidRPr="004515B6">
        <w:rPr>
          <w:rFonts w:ascii="Arial" w:hAnsi="Arial" w:cs="Arial"/>
          <w:b/>
        </w:rPr>
        <w:t>Action</w:t>
      </w:r>
    </w:p>
    <w:p w14:paraId="3C8EF42E" w14:textId="77777777" w:rsidR="009E1A16" w:rsidRDefault="009E1A16" w:rsidP="009E1A16">
      <w:pPr>
        <w:shd w:val="clear" w:color="auto" w:fill="FFFFFF"/>
        <w:jc w:val="left"/>
        <w:rPr>
          <w:rFonts w:ascii="Arial" w:hAnsi="Arial" w:cs="Arial"/>
          <w:szCs w:val="24"/>
          <w:lang w:val="en" w:eastAsia="en-AU"/>
        </w:rPr>
      </w:pPr>
      <w:r w:rsidRPr="00E3793D">
        <w:rPr>
          <w:rFonts w:ascii="Arial" w:hAnsi="Arial" w:cs="Arial"/>
          <w:szCs w:val="24"/>
        </w:rPr>
        <w:t xml:space="preserve">Hosted two </w:t>
      </w:r>
      <w:r>
        <w:rPr>
          <w:rFonts w:ascii="Arial" w:hAnsi="Arial" w:cs="Arial"/>
          <w:szCs w:val="24"/>
        </w:rPr>
        <w:t xml:space="preserve">community workshops </w:t>
      </w:r>
      <w:r w:rsidRPr="00E3793D">
        <w:rPr>
          <w:rFonts w:ascii="Arial" w:hAnsi="Arial" w:cs="Arial"/>
          <w:szCs w:val="24"/>
          <w:lang w:val="en" w:eastAsia="en-AU"/>
        </w:rPr>
        <w:t xml:space="preserve">for </w:t>
      </w:r>
      <w:r>
        <w:rPr>
          <w:rFonts w:ascii="Arial" w:hAnsi="Arial" w:cs="Arial"/>
          <w:szCs w:val="24"/>
          <w:lang w:val="en" w:eastAsia="en-AU"/>
        </w:rPr>
        <w:t xml:space="preserve">service providers of the CIS scheme. All service providers were invited to provide feedback on the performance of the scheme and identify areas for continued improvement. </w:t>
      </w:r>
    </w:p>
    <w:p w14:paraId="015F52D9" w14:textId="702DC4D7" w:rsidR="009E1A16" w:rsidRDefault="009E1A16" w:rsidP="009E1A16">
      <w:pPr>
        <w:shd w:val="clear" w:color="auto" w:fill="FFFFFF"/>
        <w:jc w:val="left"/>
        <w:rPr>
          <w:rFonts w:ascii="Arial" w:hAnsi="Arial" w:cs="Arial"/>
          <w:szCs w:val="24"/>
          <w:lang w:val="en" w:eastAsia="en-AU"/>
        </w:rPr>
      </w:pPr>
    </w:p>
    <w:p w14:paraId="40F9FF9C" w14:textId="77777777" w:rsidR="009E1A16" w:rsidRPr="00E857B9" w:rsidRDefault="009E1A16" w:rsidP="009E1A16">
      <w:pPr>
        <w:shd w:val="clear" w:color="auto" w:fill="FFFFFF"/>
        <w:spacing w:after="75"/>
        <w:jc w:val="left"/>
        <w:rPr>
          <w:rFonts w:ascii="Arial" w:hAnsi="Arial" w:cs="Arial"/>
          <w:b/>
          <w:color w:val="2E74B5" w:themeColor="accent1" w:themeShade="BF"/>
        </w:rPr>
      </w:pPr>
      <w:r w:rsidRPr="00E857B9">
        <w:rPr>
          <w:rFonts w:ascii="Arial" w:hAnsi="Arial" w:cs="Arial"/>
          <w:b/>
          <w:color w:val="2E74B5" w:themeColor="accent1" w:themeShade="BF"/>
        </w:rPr>
        <w:t>Outcome 7: People with disability have the same opportunities as other people to obtain and maintain employment with the Insurance Commission.</w:t>
      </w:r>
    </w:p>
    <w:p w14:paraId="51CFE707" w14:textId="77777777" w:rsidR="009E1A16" w:rsidRPr="004515B6" w:rsidRDefault="009E1A16" w:rsidP="009E1A16">
      <w:pPr>
        <w:rPr>
          <w:rFonts w:ascii="Arial" w:hAnsi="Arial" w:cs="Arial"/>
        </w:rPr>
      </w:pPr>
    </w:p>
    <w:p w14:paraId="2FDED74D" w14:textId="77777777" w:rsidR="009E1A16" w:rsidRPr="004515B6" w:rsidRDefault="009E1A16" w:rsidP="009E1A16">
      <w:pPr>
        <w:rPr>
          <w:rFonts w:ascii="Arial" w:hAnsi="Arial" w:cs="Arial"/>
          <w:b/>
        </w:rPr>
      </w:pPr>
      <w:r w:rsidRPr="004515B6">
        <w:rPr>
          <w:rFonts w:ascii="Arial" w:hAnsi="Arial" w:cs="Arial"/>
          <w:b/>
        </w:rPr>
        <w:t>Action</w:t>
      </w:r>
    </w:p>
    <w:p w14:paraId="12F6840F" w14:textId="77777777" w:rsidR="009E1A16" w:rsidRPr="003F1F3D" w:rsidRDefault="009E1A16" w:rsidP="009E1A16">
      <w:pPr>
        <w:rPr>
          <w:rFonts w:ascii="Arial" w:hAnsi="Arial" w:cs="Arial"/>
        </w:rPr>
      </w:pPr>
      <w:r>
        <w:rPr>
          <w:rFonts w:ascii="Arial" w:hAnsi="Arial" w:cs="Arial"/>
        </w:rPr>
        <w:t>Continued to improve education of recruitment and selection panels to</w:t>
      </w:r>
      <w:r w:rsidRPr="003F1F3D">
        <w:rPr>
          <w:rFonts w:ascii="Arial" w:hAnsi="Arial" w:cs="Arial"/>
        </w:rPr>
        <w:t xml:space="preserve"> i</w:t>
      </w:r>
      <w:r>
        <w:rPr>
          <w:rFonts w:ascii="Arial" w:hAnsi="Arial" w:cs="Arial"/>
        </w:rPr>
        <w:t>ncrease</w:t>
      </w:r>
      <w:r w:rsidRPr="003F1F3D">
        <w:rPr>
          <w:rFonts w:ascii="Arial" w:hAnsi="Arial" w:cs="Arial"/>
        </w:rPr>
        <w:t xml:space="preserve"> </w:t>
      </w:r>
      <w:r>
        <w:rPr>
          <w:rFonts w:ascii="Arial" w:hAnsi="Arial" w:cs="Arial"/>
        </w:rPr>
        <w:t>employment outcomes for people</w:t>
      </w:r>
      <w:r w:rsidRPr="003F1F3D">
        <w:rPr>
          <w:rFonts w:ascii="Arial" w:hAnsi="Arial" w:cs="Arial"/>
        </w:rPr>
        <w:t xml:space="preserve"> with disability.</w:t>
      </w:r>
    </w:p>
    <w:p w14:paraId="1634FA2F" w14:textId="77777777" w:rsidR="009E1A16" w:rsidRPr="003F1F3D" w:rsidRDefault="009E1A16" w:rsidP="009E1A16">
      <w:pPr>
        <w:rPr>
          <w:rFonts w:ascii="Arial" w:hAnsi="Arial" w:cs="Arial"/>
        </w:rPr>
      </w:pPr>
    </w:p>
    <w:p w14:paraId="096EA289" w14:textId="77777777" w:rsidR="009E1A16" w:rsidRPr="003F1F3D" w:rsidRDefault="009E1A16" w:rsidP="009E1A16">
      <w:pPr>
        <w:rPr>
          <w:rFonts w:ascii="Arial" w:hAnsi="Arial" w:cs="Arial"/>
        </w:rPr>
      </w:pPr>
      <w:r w:rsidRPr="003F1F3D">
        <w:rPr>
          <w:rFonts w:ascii="Arial" w:hAnsi="Arial" w:cs="Arial"/>
        </w:rPr>
        <w:t xml:space="preserve">Provided trainee employment opportunities for youth with disability.  </w:t>
      </w:r>
    </w:p>
    <w:p w14:paraId="745E23DA" w14:textId="77777777" w:rsidR="009E1A16" w:rsidRPr="003F1F3D" w:rsidRDefault="009E1A16" w:rsidP="009E1A16">
      <w:pPr>
        <w:rPr>
          <w:rFonts w:ascii="Arial" w:hAnsi="Arial" w:cs="Arial"/>
          <w:u w:val="single"/>
        </w:rPr>
      </w:pPr>
    </w:p>
    <w:p w14:paraId="5A926A57" w14:textId="77777777" w:rsidR="009E1A16" w:rsidRPr="003F1F3D" w:rsidRDefault="009E1A16" w:rsidP="009E1A16">
      <w:pPr>
        <w:rPr>
          <w:rFonts w:ascii="Arial" w:hAnsi="Arial" w:cs="Arial"/>
        </w:rPr>
      </w:pPr>
      <w:r w:rsidRPr="003F1F3D">
        <w:rPr>
          <w:rFonts w:ascii="Arial" w:hAnsi="Arial" w:cs="Arial"/>
        </w:rPr>
        <w:t>Ongoing support services provided to employees with disability.</w:t>
      </w:r>
    </w:p>
    <w:p w14:paraId="3E066718" w14:textId="77777777" w:rsidR="009E1A16" w:rsidRPr="00214A2E" w:rsidRDefault="009E1A16" w:rsidP="009E1A16">
      <w:pPr>
        <w:rPr>
          <w:rFonts w:ascii="Arial" w:hAnsi="Arial" w:cs="Arial"/>
          <w:b/>
        </w:rPr>
      </w:pPr>
    </w:p>
    <w:p w14:paraId="25DA76FA" w14:textId="26E55B43" w:rsidR="009E1A16" w:rsidRPr="009E1A16" w:rsidRDefault="009E1A16" w:rsidP="009E1A16">
      <w:pPr>
        <w:pStyle w:val="ARHeading3"/>
      </w:pPr>
      <w:bookmarkStart w:id="91" w:name="_Toc390680607"/>
      <w:r>
        <w:t>6.3.5</w:t>
      </w:r>
      <w:r w:rsidRPr="00BE3CCB">
        <w:tab/>
        <w:t>Recordkeeping Plan</w:t>
      </w:r>
      <w:bookmarkEnd w:id="91"/>
    </w:p>
    <w:p w14:paraId="49132B4A" w14:textId="77777777" w:rsidR="009E1A16" w:rsidRPr="00BE3CCB" w:rsidRDefault="009E1A16" w:rsidP="009E1A16">
      <w:pPr>
        <w:rPr>
          <w:rFonts w:ascii="Arial" w:hAnsi="Arial" w:cs="Arial"/>
        </w:rPr>
      </w:pPr>
      <w:r w:rsidRPr="00BE3CCB">
        <w:rPr>
          <w:rFonts w:ascii="Arial" w:hAnsi="Arial" w:cs="Arial"/>
        </w:rPr>
        <w:t xml:space="preserve">The Insurance Commission maintains a Recordkeeping Plan approved by the State Records Commission. The Recordkeeping Plan sets out the recordkeeping system, training program and reporting for the organisation. Recordkeeping training continues to be undertaken by all new staff via an induction program which details employee roles and responsibilities for compliance with the organisation’s Recordkeeping Plan. The Insurance Commission’s intranet houses the Recordkeeping Plan and related documentation. Routine reporting is undertaken on the performance of recordkeeping systems and training delivered. </w:t>
      </w:r>
    </w:p>
    <w:p w14:paraId="7F7080E2" w14:textId="77777777" w:rsidR="009E1A16" w:rsidRPr="00214A2E" w:rsidRDefault="009E1A16" w:rsidP="009E1A16">
      <w:pPr>
        <w:rPr>
          <w:rFonts w:ascii="Arial" w:hAnsi="Arial" w:cs="Arial"/>
          <w:b/>
        </w:rPr>
      </w:pPr>
      <w:r w:rsidRPr="00214A2E">
        <w:rPr>
          <w:rFonts w:ascii="Arial" w:hAnsi="Arial" w:cs="Arial"/>
          <w:b/>
        </w:rPr>
        <w:t xml:space="preserve">  </w:t>
      </w:r>
    </w:p>
    <w:p w14:paraId="1A0D577D" w14:textId="77777777" w:rsidR="009E1A16" w:rsidRPr="00BE3CCB" w:rsidRDefault="009E1A16" w:rsidP="009E1A16">
      <w:pPr>
        <w:rPr>
          <w:rFonts w:ascii="Arial" w:hAnsi="Arial" w:cs="Arial"/>
          <w:b/>
          <w:sz w:val="28"/>
          <w:szCs w:val="28"/>
        </w:rPr>
      </w:pPr>
      <w:bookmarkStart w:id="92" w:name="_Toc390680608"/>
      <w:r>
        <w:rPr>
          <w:rFonts w:ascii="Arial" w:hAnsi="Arial" w:cs="Arial"/>
          <w:b/>
          <w:sz w:val="28"/>
          <w:szCs w:val="28"/>
        </w:rPr>
        <w:t>6.3.6</w:t>
      </w:r>
      <w:r w:rsidRPr="00BE3CCB">
        <w:rPr>
          <w:rFonts w:ascii="Arial" w:hAnsi="Arial" w:cs="Arial"/>
          <w:b/>
          <w:sz w:val="28"/>
          <w:szCs w:val="28"/>
        </w:rPr>
        <w:tab/>
        <w:t>Substantive Equity</w:t>
      </w:r>
      <w:bookmarkEnd w:id="92"/>
      <w:r w:rsidRPr="00BE3CCB">
        <w:rPr>
          <w:rFonts w:ascii="Arial" w:hAnsi="Arial" w:cs="Arial"/>
          <w:b/>
          <w:sz w:val="28"/>
          <w:szCs w:val="28"/>
        </w:rPr>
        <w:t xml:space="preserve"> </w:t>
      </w:r>
    </w:p>
    <w:p w14:paraId="0CE213C8" w14:textId="77777777" w:rsidR="009E1A16" w:rsidRPr="00BE3CCB" w:rsidRDefault="009E1A16" w:rsidP="009E1A16">
      <w:pPr>
        <w:rPr>
          <w:rFonts w:ascii="Arial" w:hAnsi="Arial" w:cs="Arial"/>
        </w:rPr>
      </w:pPr>
      <w:r w:rsidRPr="00BE3CCB">
        <w:rPr>
          <w:rFonts w:ascii="Arial" w:hAnsi="Arial" w:cs="Arial"/>
        </w:rPr>
        <w:t xml:space="preserve">Our employment practices align with the PSC’s Employment Standards and are designed to be transparent </w:t>
      </w:r>
      <w:r>
        <w:rPr>
          <w:rFonts w:ascii="Arial" w:hAnsi="Arial" w:cs="Arial"/>
        </w:rPr>
        <w:t xml:space="preserve">and </w:t>
      </w:r>
      <w:r w:rsidRPr="00BE3CCB">
        <w:rPr>
          <w:rFonts w:ascii="Arial" w:hAnsi="Arial" w:cs="Arial"/>
        </w:rPr>
        <w:t>based on the principles of merit and equity.</w:t>
      </w:r>
    </w:p>
    <w:p w14:paraId="581D8A11" w14:textId="77777777" w:rsidR="009E1A16" w:rsidRDefault="009E1A16" w:rsidP="009E1A16">
      <w:pPr>
        <w:rPr>
          <w:rFonts w:ascii="Arial" w:hAnsi="Arial" w:cs="Arial"/>
          <w:b/>
        </w:rPr>
      </w:pPr>
    </w:p>
    <w:p w14:paraId="274C47DA" w14:textId="77777777" w:rsidR="009E1A16" w:rsidRPr="00214A2E" w:rsidRDefault="009E1A16" w:rsidP="009E1A16">
      <w:pPr>
        <w:rPr>
          <w:rFonts w:ascii="Arial" w:hAnsi="Arial" w:cs="Arial"/>
          <w:b/>
        </w:rPr>
      </w:pPr>
    </w:p>
    <w:p w14:paraId="1B4C3FB7" w14:textId="77777777" w:rsidR="009E1A16" w:rsidRDefault="009E1A16" w:rsidP="009E1A16">
      <w:pPr>
        <w:rPr>
          <w:rFonts w:ascii="Arial" w:hAnsi="Arial" w:cs="Arial"/>
          <w:b/>
          <w:sz w:val="28"/>
          <w:szCs w:val="28"/>
        </w:rPr>
      </w:pPr>
      <w:bookmarkStart w:id="93" w:name="_Toc390680609"/>
      <w:r>
        <w:rPr>
          <w:rFonts w:ascii="Arial" w:hAnsi="Arial" w:cs="Arial"/>
          <w:b/>
          <w:sz w:val="28"/>
          <w:szCs w:val="28"/>
        </w:rPr>
        <w:lastRenderedPageBreak/>
        <w:t>6.3.7</w:t>
      </w:r>
      <w:r w:rsidRPr="00BE3CCB">
        <w:rPr>
          <w:rFonts w:ascii="Arial" w:hAnsi="Arial" w:cs="Arial"/>
          <w:b/>
          <w:sz w:val="28"/>
          <w:szCs w:val="28"/>
        </w:rPr>
        <w:tab/>
        <w:t>Use of Credit Cards</w:t>
      </w:r>
    </w:p>
    <w:p w14:paraId="2BC31FCD" w14:textId="5734FFF5" w:rsidR="009E1A16" w:rsidRPr="009E1A16" w:rsidRDefault="009E1A16" w:rsidP="009E1A16">
      <w:pPr>
        <w:rPr>
          <w:rFonts w:ascii="Arial" w:hAnsi="Arial" w:cs="Arial"/>
          <w:b/>
          <w:sz w:val="28"/>
          <w:szCs w:val="28"/>
        </w:rPr>
      </w:pPr>
      <w:r w:rsidRPr="00BE3CCB">
        <w:rPr>
          <w:rFonts w:ascii="Arial" w:hAnsi="Arial" w:cs="Arial"/>
        </w:rPr>
        <w:t>Ther</w:t>
      </w:r>
      <w:r>
        <w:rPr>
          <w:rFonts w:ascii="Arial" w:hAnsi="Arial" w:cs="Arial"/>
        </w:rPr>
        <w:t>e have been no instances in 2018</w:t>
      </w:r>
      <w:r w:rsidRPr="00BE3CCB">
        <w:rPr>
          <w:rFonts w:ascii="Arial" w:hAnsi="Arial" w:cs="Arial"/>
        </w:rPr>
        <w:t xml:space="preserve"> of Insurance Commission credit cards being used for personal use.</w:t>
      </w:r>
    </w:p>
    <w:p w14:paraId="77A7C2BA" w14:textId="77777777" w:rsidR="009E1A16" w:rsidRPr="00214A2E" w:rsidRDefault="009E1A16" w:rsidP="009E1A16">
      <w:pPr>
        <w:rPr>
          <w:rFonts w:ascii="Arial" w:hAnsi="Arial" w:cs="Arial"/>
          <w:b/>
        </w:rPr>
      </w:pPr>
      <w:r w:rsidRPr="00214A2E">
        <w:rPr>
          <w:rFonts w:ascii="Arial" w:hAnsi="Arial" w:cs="Arial"/>
          <w:b/>
        </w:rPr>
        <w:t xml:space="preserve"> </w:t>
      </w:r>
    </w:p>
    <w:p w14:paraId="79E65E31" w14:textId="77777777" w:rsidR="009E1A16" w:rsidRPr="00BE3CCB" w:rsidRDefault="009E1A16" w:rsidP="009E1A16">
      <w:pPr>
        <w:rPr>
          <w:rFonts w:ascii="Arial" w:hAnsi="Arial" w:cs="Arial"/>
          <w:b/>
          <w:sz w:val="28"/>
          <w:szCs w:val="28"/>
        </w:rPr>
      </w:pPr>
      <w:r>
        <w:rPr>
          <w:rFonts w:ascii="Arial" w:hAnsi="Arial" w:cs="Arial"/>
          <w:b/>
          <w:sz w:val="28"/>
          <w:szCs w:val="28"/>
        </w:rPr>
        <w:t>6.3.8</w:t>
      </w:r>
      <w:r w:rsidRPr="00BE3CCB">
        <w:rPr>
          <w:rFonts w:ascii="Arial" w:hAnsi="Arial" w:cs="Arial"/>
          <w:b/>
          <w:sz w:val="28"/>
          <w:szCs w:val="28"/>
        </w:rPr>
        <w:t xml:space="preserve"> Occupational Safety and Health</w:t>
      </w:r>
      <w:bookmarkEnd w:id="93"/>
    </w:p>
    <w:p w14:paraId="15B86B20" w14:textId="77777777" w:rsidR="009E1A16" w:rsidRPr="00BE3CCB" w:rsidRDefault="009E1A16" w:rsidP="009E1A16">
      <w:pPr>
        <w:rPr>
          <w:rFonts w:ascii="Arial" w:hAnsi="Arial" w:cs="Arial"/>
        </w:rPr>
      </w:pPr>
      <w:r w:rsidRPr="00BE3CCB">
        <w:rPr>
          <w:rFonts w:ascii="Arial" w:hAnsi="Arial" w:cs="Arial"/>
        </w:rPr>
        <w:t xml:space="preserve">The Insurance Commission has a longstanding high level commitment to maintain a positive safety culture in which our Occupational Safety and Health (OSH) systems do more than just aim for compliance. </w:t>
      </w:r>
    </w:p>
    <w:p w14:paraId="5EF25EB3" w14:textId="77777777" w:rsidR="009E1A16" w:rsidRPr="00BE3CCB" w:rsidRDefault="009E1A16" w:rsidP="009E1A16">
      <w:pPr>
        <w:rPr>
          <w:rFonts w:ascii="Arial" w:hAnsi="Arial" w:cs="Arial"/>
        </w:rPr>
      </w:pPr>
    </w:p>
    <w:p w14:paraId="1327DC16" w14:textId="77777777" w:rsidR="009E1A16" w:rsidRDefault="009E1A16" w:rsidP="009E1A16">
      <w:pPr>
        <w:rPr>
          <w:rFonts w:ascii="Arial" w:hAnsi="Arial" w:cs="Arial"/>
        </w:rPr>
      </w:pPr>
      <w:r w:rsidRPr="00BE3CCB">
        <w:rPr>
          <w:rFonts w:ascii="Arial" w:hAnsi="Arial" w:cs="Arial"/>
        </w:rPr>
        <w:t xml:space="preserve">Our OSH goal is to ensure no employee, contractor or visitor is harmed at work. </w:t>
      </w:r>
      <w:r>
        <w:rPr>
          <w:rFonts w:ascii="Arial" w:hAnsi="Arial" w:cs="Arial"/>
        </w:rPr>
        <w:t xml:space="preserve">An independent auditor was appointed to undertake an assessment of the Insurance Commission’s OSH policies and programs against the </w:t>
      </w:r>
      <w:proofErr w:type="spellStart"/>
      <w:r>
        <w:rPr>
          <w:rFonts w:ascii="Arial" w:hAnsi="Arial" w:cs="Arial"/>
        </w:rPr>
        <w:t>WorkSafe</w:t>
      </w:r>
      <w:proofErr w:type="spellEnd"/>
      <w:r>
        <w:rPr>
          <w:rFonts w:ascii="Arial" w:hAnsi="Arial" w:cs="Arial"/>
        </w:rPr>
        <w:t xml:space="preserve"> Plan. The Auditor assessed the Insurance Commission as operating at the ‘Platinum’ Level recognising the long-term strategic approach to managing our OSH requirements which exceed the legislative responsibilities. It also reflects a positive OSH culture and high levels of employee engagement. However, it is acknowledged that a sustained focus on office ergonomics and hazard identification is required if we are to achieve our goal of no injuries at work.</w:t>
      </w:r>
    </w:p>
    <w:p w14:paraId="7B32F069" w14:textId="77777777" w:rsidR="009E1A16" w:rsidRPr="00BE3CCB" w:rsidRDefault="009E1A16" w:rsidP="009E1A16">
      <w:pPr>
        <w:rPr>
          <w:rFonts w:ascii="Arial" w:hAnsi="Arial" w:cs="Arial"/>
          <w:lang w:val="en-US"/>
        </w:rPr>
      </w:pPr>
    </w:p>
    <w:p w14:paraId="6C3DE3BA" w14:textId="77777777" w:rsidR="009E1A16" w:rsidRPr="00BE3CCB" w:rsidRDefault="009E1A16" w:rsidP="009E1A16">
      <w:pPr>
        <w:rPr>
          <w:rFonts w:ascii="Arial" w:hAnsi="Arial" w:cs="Arial"/>
        </w:rPr>
      </w:pPr>
      <w:r w:rsidRPr="00BE3CCB">
        <w:rPr>
          <w:rFonts w:ascii="Arial" w:hAnsi="Arial" w:cs="Arial"/>
          <w:lang w:val="en-US"/>
        </w:rPr>
        <w:t>The Insurance Commission’s OSH Committee performs an important role providing a forum for employees to be engaged on OSH matters.</w:t>
      </w:r>
    </w:p>
    <w:p w14:paraId="1D5652E1" w14:textId="77777777" w:rsidR="009E1A16" w:rsidRPr="00BE3CCB" w:rsidRDefault="009E1A16" w:rsidP="009E1A16">
      <w:pPr>
        <w:rPr>
          <w:rFonts w:ascii="Arial" w:hAnsi="Arial" w:cs="Arial"/>
        </w:rPr>
      </w:pPr>
    </w:p>
    <w:p w14:paraId="13B64268" w14:textId="77777777" w:rsidR="009E1A16" w:rsidRPr="00BE3CCB" w:rsidRDefault="009E1A16" w:rsidP="009E1A16">
      <w:pPr>
        <w:rPr>
          <w:rFonts w:ascii="Arial" w:hAnsi="Arial" w:cs="Arial"/>
          <w:i/>
          <w:iCs/>
          <w:lang w:val="en-US"/>
        </w:rPr>
      </w:pPr>
      <w:r w:rsidRPr="00B429BE">
        <w:rPr>
          <w:rFonts w:ascii="Arial" w:hAnsi="Arial" w:cs="Arial"/>
        </w:rPr>
        <w:t>Six workers' compensation claims were lodged during the year. Three of these are pending a decision on liability by our insurer, two resulted in lost time and there was one with no lost time.</w:t>
      </w:r>
      <w:r w:rsidRPr="00BE3CCB">
        <w:rPr>
          <w:rFonts w:ascii="Arial" w:hAnsi="Arial" w:cs="Arial"/>
        </w:rPr>
        <w:t xml:space="preserve"> Injured </w:t>
      </w:r>
      <w:r w:rsidRPr="00BE3CCB">
        <w:rPr>
          <w:rFonts w:ascii="Arial" w:hAnsi="Arial" w:cs="Arial"/>
          <w:lang w:val="en-US"/>
        </w:rPr>
        <w:t xml:space="preserve">employees are supported in their return to work under the </w:t>
      </w:r>
      <w:r w:rsidRPr="00BE3CCB">
        <w:rPr>
          <w:rFonts w:ascii="Arial" w:hAnsi="Arial" w:cs="Arial"/>
          <w:i/>
          <w:iCs/>
          <w:lang w:val="en-US"/>
        </w:rPr>
        <w:t>Workers’ Compensation and Injury Management Act 1981.</w:t>
      </w:r>
    </w:p>
    <w:p w14:paraId="521E39E4" w14:textId="77777777" w:rsidR="009E1A16" w:rsidRPr="00BE3CCB" w:rsidRDefault="009E1A16" w:rsidP="009E1A16">
      <w:pPr>
        <w:rPr>
          <w:rFonts w:ascii="Arial" w:hAnsi="Arial" w:cs="Arial"/>
          <w:lang w:val="en-US"/>
        </w:rPr>
      </w:pPr>
    </w:p>
    <w:p w14:paraId="6C9FBCD0" w14:textId="77777777" w:rsidR="009E1A16" w:rsidRPr="00E57C89" w:rsidRDefault="009E1A16" w:rsidP="009E1A16">
      <w:pPr>
        <w:rPr>
          <w:rFonts w:ascii="Arial" w:hAnsi="Arial" w:cs="Arial"/>
          <w:lang w:val="en-US"/>
        </w:rPr>
      </w:pPr>
      <w:r w:rsidRPr="00BE3CCB">
        <w:rPr>
          <w:rFonts w:ascii="Arial" w:hAnsi="Arial" w:cs="Arial"/>
          <w:lang w:val="en-US"/>
        </w:rPr>
        <w:t>Performance against the targets of the PSC’s Circular 201</w:t>
      </w:r>
      <w:r>
        <w:rPr>
          <w:rFonts w:ascii="Arial" w:hAnsi="Arial" w:cs="Arial"/>
          <w:lang w:val="en-US"/>
        </w:rPr>
        <w:t>8-03</w:t>
      </w:r>
      <w:r w:rsidRPr="00BE3CCB">
        <w:rPr>
          <w:rFonts w:ascii="Arial" w:hAnsi="Arial" w:cs="Arial"/>
          <w:lang w:val="en-US"/>
        </w:rPr>
        <w:t xml:space="preserve">: Code of Practice: OSH in the WA Public Sector is listed below. </w:t>
      </w:r>
    </w:p>
    <w:p w14:paraId="471B615C" w14:textId="77777777" w:rsidR="009E1A16" w:rsidRDefault="009E1A16" w:rsidP="009E1A16">
      <w:pPr>
        <w:rPr>
          <w:rFonts w:ascii="Arial" w:hAnsi="Arial" w:cs="Arial"/>
          <w:b/>
          <w:bCs/>
          <w:i/>
        </w:rPr>
      </w:pPr>
    </w:p>
    <w:p w14:paraId="0072F28C" w14:textId="77777777" w:rsidR="009E1A16" w:rsidRDefault="009E1A16" w:rsidP="009E1A16">
      <w:pPr>
        <w:rPr>
          <w:rFonts w:ascii="Arial" w:hAnsi="Arial" w:cs="Arial"/>
          <w:b/>
          <w:bCs/>
          <w:i/>
        </w:rPr>
      </w:pPr>
      <w:r w:rsidRPr="00214A2E">
        <w:rPr>
          <w:rFonts w:ascii="Arial" w:hAnsi="Arial" w:cs="Arial"/>
          <w:b/>
          <w:bCs/>
          <w:i/>
        </w:rPr>
        <w:t xml:space="preserve">Occupational Safety and Health Reporting </w:t>
      </w:r>
    </w:p>
    <w:p w14:paraId="54CF9C75" w14:textId="77777777" w:rsidR="009E1A16" w:rsidRPr="00214A2E" w:rsidRDefault="009E1A16" w:rsidP="009E1A16">
      <w:pPr>
        <w:rPr>
          <w:rFonts w:ascii="Arial" w:hAnsi="Arial" w:cs="Arial"/>
          <w:b/>
          <w:bCs/>
          <w:i/>
        </w:rPr>
      </w:pPr>
    </w:p>
    <w:tbl>
      <w:tblPr>
        <w:tblW w:w="0" w:type="auto"/>
        <w:tblInd w:w="120"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2262"/>
        <w:gridCol w:w="1012"/>
        <w:gridCol w:w="1169"/>
        <w:gridCol w:w="1149"/>
        <w:gridCol w:w="95"/>
        <w:gridCol w:w="1190"/>
        <w:gridCol w:w="2014"/>
      </w:tblGrid>
      <w:tr w:rsidR="009E1A16" w:rsidRPr="00214A2E" w14:paraId="3C737393" w14:textId="77777777" w:rsidTr="009E1A16">
        <w:tc>
          <w:tcPr>
            <w:tcW w:w="2272" w:type="dxa"/>
            <w:tcBorders>
              <w:top w:val="nil"/>
              <w:left w:val="nil"/>
            </w:tcBorders>
          </w:tcPr>
          <w:p w14:paraId="3BB205CE" w14:textId="77777777" w:rsidR="009E1A16" w:rsidRPr="00BE3CCB" w:rsidRDefault="009E1A16" w:rsidP="009E1A16">
            <w:pPr>
              <w:rPr>
                <w:rFonts w:ascii="Arial" w:hAnsi="Arial" w:cs="Arial"/>
                <w:b/>
                <w:bCs/>
                <w:sz w:val="22"/>
                <w:szCs w:val="22"/>
                <w:lang w:val="en-US"/>
              </w:rPr>
            </w:pPr>
          </w:p>
        </w:tc>
        <w:tc>
          <w:tcPr>
            <w:tcW w:w="1016" w:type="dxa"/>
            <w:shd w:val="clear" w:color="auto" w:fill="44546A" w:themeFill="text2"/>
          </w:tcPr>
          <w:p w14:paraId="379571D9" w14:textId="77777777" w:rsidR="009E1A16" w:rsidRPr="00BE3CCB" w:rsidRDefault="009E1A16" w:rsidP="009E1A16">
            <w:pPr>
              <w:rPr>
                <w:rFonts w:ascii="Arial" w:hAnsi="Arial" w:cs="Arial"/>
                <w:b/>
                <w:bCs/>
                <w:color w:val="FFFFFF" w:themeColor="background1"/>
                <w:sz w:val="22"/>
                <w:szCs w:val="22"/>
                <w:lang w:val="en-US"/>
              </w:rPr>
            </w:pPr>
          </w:p>
        </w:tc>
        <w:tc>
          <w:tcPr>
            <w:tcW w:w="2427" w:type="dxa"/>
            <w:gridSpan w:val="3"/>
            <w:shd w:val="clear" w:color="auto" w:fill="44546A" w:themeFill="text2"/>
          </w:tcPr>
          <w:p w14:paraId="7B3D6CA4" w14:textId="77777777" w:rsidR="009E1A16" w:rsidRPr="00BE3CCB" w:rsidRDefault="009E1A16" w:rsidP="009E1A16">
            <w:pPr>
              <w:rPr>
                <w:rFonts w:ascii="Arial" w:hAnsi="Arial" w:cs="Arial"/>
                <w:b/>
                <w:bCs/>
                <w:color w:val="FFFFFF" w:themeColor="background1"/>
                <w:sz w:val="22"/>
                <w:szCs w:val="22"/>
                <w:lang w:val="en-US"/>
              </w:rPr>
            </w:pPr>
            <w:r w:rsidRPr="00BE3CCB">
              <w:rPr>
                <w:rFonts w:ascii="Arial" w:hAnsi="Arial" w:cs="Arial"/>
                <w:b/>
                <w:bCs/>
                <w:color w:val="FFFFFF" w:themeColor="background1"/>
                <w:sz w:val="22"/>
                <w:szCs w:val="22"/>
                <w:lang w:val="en-US"/>
              </w:rPr>
              <w:t>Actual Results</w:t>
            </w:r>
          </w:p>
        </w:tc>
        <w:tc>
          <w:tcPr>
            <w:tcW w:w="3220" w:type="dxa"/>
            <w:gridSpan w:val="2"/>
            <w:shd w:val="clear" w:color="auto" w:fill="44546A" w:themeFill="text2"/>
          </w:tcPr>
          <w:p w14:paraId="7E7DD579" w14:textId="77777777" w:rsidR="009E1A16" w:rsidRPr="00BE3CCB" w:rsidRDefault="009E1A16" w:rsidP="009E1A16">
            <w:pPr>
              <w:rPr>
                <w:rFonts w:ascii="Arial" w:hAnsi="Arial" w:cs="Arial"/>
                <w:b/>
                <w:bCs/>
                <w:color w:val="FFFFFF" w:themeColor="background1"/>
                <w:sz w:val="22"/>
                <w:szCs w:val="22"/>
                <w:lang w:val="en-US"/>
              </w:rPr>
            </w:pPr>
            <w:r>
              <w:rPr>
                <w:rFonts w:ascii="Arial" w:hAnsi="Arial" w:cs="Arial"/>
                <w:b/>
                <w:bCs/>
                <w:color w:val="FFFFFF" w:themeColor="background1"/>
                <w:sz w:val="22"/>
                <w:szCs w:val="22"/>
                <w:lang w:val="en-US"/>
              </w:rPr>
              <w:t>Results Against T</w:t>
            </w:r>
            <w:r w:rsidRPr="00BE3CCB">
              <w:rPr>
                <w:rFonts w:ascii="Arial" w:hAnsi="Arial" w:cs="Arial"/>
                <w:b/>
                <w:bCs/>
                <w:color w:val="FFFFFF" w:themeColor="background1"/>
                <w:sz w:val="22"/>
                <w:szCs w:val="22"/>
                <w:lang w:val="en-US"/>
              </w:rPr>
              <w:t>arget</w:t>
            </w:r>
          </w:p>
        </w:tc>
      </w:tr>
      <w:tr w:rsidR="009E1A16" w:rsidRPr="00214A2E" w14:paraId="18BBD712" w14:textId="77777777" w:rsidTr="009E1A16">
        <w:tc>
          <w:tcPr>
            <w:tcW w:w="2272" w:type="dxa"/>
            <w:shd w:val="clear" w:color="auto" w:fill="44546A" w:themeFill="text2"/>
          </w:tcPr>
          <w:p w14:paraId="3425A88B" w14:textId="77777777" w:rsidR="009E1A16" w:rsidRPr="00BE3CCB" w:rsidRDefault="009E1A16" w:rsidP="009E1A16">
            <w:pPr>
              <w:rPr>
                <w:rFonts w:ascii="Arial" w:hAnsi="Arial" w:cs="Arial"/>
                <w:b/>
                <w:bCs/>
                <w:sz w:val="22"/>
                <w:szCs w:val="22"/>
                <w:lang w:val="en-US"/>
              </w:rPr>
            </w:pPr>
            <w:r w:rsidRPr="00BE3CCB">
              <w:rPr>
                <w:rFonts w:ascii="Arial" w:hAnsi="Arial" w:cs="Arial"/>
                <w:b/>
                <w:bCs/>
                <w:color w:val="FFFFFF" w:themeColor="background1"/>
                <w:sz w:val="22"/>
                <w:szCs w:val="22"/>
                <w:lang w:val="en-US"/>
              </w:rPr>
              <w:t>Measure</w:t>
            </w:r>
          </w:p>
        </w:tc>
        <w:tc>
          <w:tcPr>
            <w:tcW w:w="1016" w:type="dxa"/>
            <w:shd w:val="clear" w:color="auto" w:fill="44546A" w:themeFill="text2"/>
          </w:tcPr>
          <w:p w14:paraId="23BFA3AE" w14:textId="77777777" w:rsidR="009E1A16" w:rsidRPr="00BE3CCB" w:rsidRDefault="009E1A16" w:rsidP="009E1A16">
            <w:pPr>
              <w:rPr>
                <w:rFonts w:ascii="Arial" w:hAnsi="Arial" w:cs="Arial"/>
                <w:b/>
                <w:bCs/>
                <w:color w:val="FFFFFF" w:themeColor="background1"/>
                <w:sz w:val="22"/>
                <w:szCs w:val="22"/>
                <w:lang w:val="en-US"/>
              </w:rPr>
            </w:pPr>
            <w:r>
              <w:rPr>
                <w:rFonts w:ascii="Arial" w:hAnsi="Arial" w:cs="Arial"/>
                <w:b/>
                <w:bCs/>
                <w:color w:val="FFFFFF" w:themeColor="background1"/>
                <w:sz w:val="22"/>
                <w:szCs w:val="22"/>
                <w:lang w:val="en-US"/>
              </w:rPr>
              <w:t>2016</w:t>
            </w:r>
          </w:p>
        </w:tc>
        <w:tc>
          <w:tcPr>
            <w:tcW w:w="1176" w:type="dxa"/>
            <w:shd w:val="clear" w:color="auto" w:fill="44546A" w:themeFill="text2"/>
          </w:tcPr>
          <w:p w14:paraId="09F7131F" w14:textId="77777777" w:rsidR="009E1A16" w:rsidRPr="00BE3CCB" w:rsidRDefault="009E1A16" w:rsidP="009E1A16">
            <w:pPr>
              <w:rPr>
                <w:rFonts w:ascii="Arial" w:hAnsi="Arial" w:cs="Arial"/>
                <w:b/>
                <w:bCs/>
                <w:color w:val="FFFFFF" w:themeColor="background1"/>
                <w:sz w:val="22"/>
                <w:szCs w:val="22"/>
                <w:lang w:val="en-US"/>
              </w:rPr>
            </w:pPr>
            <w:r w:rsidRPr="00BE3CCB">
              <w:rPr>
                <w:rFonts w:ascii="Arial" w:hAnsi="Arial" w:cs="Arial"/>
                <w:b/>
                <w:bCs/>
                <w:color w:val="FFFFFF" w:themeColor="background1"/>
                <w:sz w:val="22"/>
                <w:szCs w:val="22"/>
                <w:lang w:val="en-US"/>
              </w:rPr>
              <w:t>201</w:t>
            </w:r>
            <w:r>
              <w:rPr>
                <w:rFonts w:ascii="Arial" w:hAnsi="Arial" w:cs="Arial"/>
                <w:b/>
                <w:bCs/>
                <w:color w:val="FFFFFF" w:themeColor="background1"/>
                <w:sz w:val="22"/>
                <w:szCs w:val="22"/>
                <w:lang w:val="en-US"/>
              </w:rPr>
              <w:t>7</w:t>
            </w:r>
          </w:p>
        </w:tc>
        <w:tc>
          <w:tcPr>
            <w:tcW w:w="1156" w:type="dxa"/>
            <w:shd w:val="clear" w:color="auto" w:fill="44546A" w:themeFill="text2"/>
          </w:tcPr>
          <w:p w14:paraId="66A5359F" w14:textId="77777777" w:rsidR="009E1A16" w:rsidRPr="00BE3CCB" w:rsidRDefault="009E1A16" w:rsidP="009E1A16">
            <w:pPr>
              <w:rPr>
                <w:rFonts w:ascii="Arial" w:hAnsi="Arial" w:cs="Arial"/>
                <w:b/>
                <w:bCs/>
                <w:color w:val="FFFFFF" w:themeColor="background1"/>
                <w:sz w:val="22"/>
                <w:szCs w:val="22"/>
                <w:lang w:val="en-US"/>
              </w:rPr>
            </w:pPr>
            <w:r w:rsidRPr="00BE3CCB">
              <w:rPr>
                <w:rFonts w:ascii="Arial" w:hAnsi="Arial" w:cs="Arial"/>
                <w:b/>
                <w:bCs/>
                <w:color w:val="FFFFFF" w:themeColor="background1"/>
                <w:sz w:val="22"/>
                <w:szCs w:val="22"/>
                <w:lang w:val="en-US"/>
              </w:rPr>
              <w:t>201</w:t>
            </w:r>
            <w:r>
              <w:rPr>
                <w:rFonts w:ascii="Arial" w:hAnsi="Arial" w:cs="Arial"/>
                <w:b/>
                <w:bCs/>
                <w:color w:val="FFFFFF" w:themeColor="background1"/>
                <w:sz w:val="22"/>
                <w:szCs w:val="22"/>
                <w:lang w:val="en-US"/>
              </w:rPr>
              <w:t>8</w:t>
            </w:r>
          </w:p>
        </w:tc>
        <w:tc>
          <w:tcPr>
            <w:tcW w:w="1288" w:type="dxa"/>
            <w:gridSpan w:val="2"/>
            <w:shd w:val="clear" w:color="auto" w:fill="44546A" w:themeFill="text2"/>
          </w:tcPr>
          <w:p w14:paraId="6B06F8CA" w14:textId="77777777" w:rsidR="009E1A16" w:rsidRPr="00BE3CCB" w:rsidRDefault="009E1A16" w:rsidP="009E1A16">
            <w:pPr>
              <w:rPr>
                <w:rFonts w:ascii="Arial" w:hAnsi="Arial" w:cs="Arial"/>
                <w:b/>
                <w:bCs/>
                <w:color w:val="FFFFFF" w:themeColor="background1"/>
                <w:sz w:val="22"/>
                <w:szCs w:val="22"/>
                <w:lang w:val="en-US"/>
              </w:rPr>
            </w:pPr>
            <w:r w:rsidRPr="00BE3CCB">
              <w:rPr>
                <w:rFonts w:ascii="Arial" w:hAnsi="Arial" w:cs="Arial"/>
                <w:b/>
                <w:bCs/>
                <w:color w:val="FFFFFF" w:themeColor="background1"/>
                <w:sz w:val="22"/>
                <w:szCs w:val="22"/>
                <w:lang w:val="en-US"/>
              </w:rPr>
              <w:t>Target</w:t>
            </w:r>
          </w:p>
        </w:tc>
        <w:tc>
          <w:tcPr>
            <w:tcW w:w="2027" w:type="dxa"/>
            <w:shd w:val="clear" w:color="auto" w:fill="44546A" w:themeFill="text2"/>
          </w:tcPr>
          <w:p w14:paraId="05834A08" w14:textId="77777777" w:rsidR="009E1A16" w:rsidRPr="00BE3CCB" w:rsidRDefault="009E1A16" w:rsidP="009E1A16">
            <w:pPr>
              <w:rPr>
                <w:rFonts w:ascii="Arial" w:hAnsi="Arial" w:cs="Arial"/>
                <w:b/>
                <w:bCs/>
                <w:color w:val="FFFFFF" w:themeColor="background1"/>
                <w:sz w:val="22"/>
                <w:szCs w:val="22"/>
                <w:lang w:val="en-US"/>
              </w:rPr>
            </w:pPr>
            <w:r w:rsidRPr="00BE3CCB">
              <w:rPr>
                <w:rFonts w:ascii="Arial" w:hAnsi="Arial" w:cs="Arial"/>
                <w:b/>
                <w:bCs/>
                <w:color w:val="FFFFFF" w:themeColor="background1"/>
                <w:sz w:val="22"/>
                <w:szCs w:val="22"/>
                <w:lang w:val="en-US"/>
              </w:rPr>
              <w:t>Comment on Result</w:t>
            </w:r>
          </w:p>
        </w:tc>
      </w:tr>
      <w:tr w:rsidR="009E1A16" w:rsidRPr="00214A2E" w14:paraId="35CF17BE" w14:textId="77777777" w:rsidTr="009E1A16">
        <w:tc>
          <w:tcPr>
            <w:tcW w:w="2272" w:type="dxa"/>
            <w:vAlign w:val="center"/>
          </w:tcPr>
          <w:p w14:paraId="79368FEC" w14:textId="77777777" w:rsidR="009E1A16" w:rsidRPr="00BE3CCB" w:rsidRDefault="009E1A16" w:rsidP="009E1A16">
            <w:pPr>
              <w:rPr>
                <w:rFonts w:ascii="Arial" w:hAnsi="Arial" w:cs="Arial"/>
                <w:bCs/>
                <w:sz w:val="22"/>
                <w:szCs w:val="22"/>
              </w:rPr>
            </w:pPr>
            <w:r w:rsidRPr="00BE3CCB">
              <w:rPr>
                <w:rFonts w:ascii="Arial" w:hAnsi="Arial" w:cs="Arial"/>
                <w:bCs/>
                <w:sz w:val="22"/>
                <w:szCs w:val="22"/>
              </w:rPr>
              <w:t>Number of fatalities</w:t>
            </w:r>
          </w:p>
        </w:tc>
        <w:tc>
          <w:tcPr>
            <w:tcW w:w="1016" w:type="dxa"/>
          </w:tcPr>
          <w:p w14:paraId="3D3C4E64" w14:textId="77777777" w:rsidR="009E1A16" w:rsidRPr="00F35F7C" w:rsidRDefault="009E1A16" w:rsidP="009E1A16">
            <w:pPr>
              <w:rPr>
                <w:rFonts w:ascii="Arial" w:hAnsi="Arial" w:cs="Arial"/>
                <w:bCs/>
                <w:sz w:val="22"/>
                <w:szCs w:val="22"/>
              </w:rPr>
            </w:pPr>
            <w:r>
              <w:rPr>
                <w:rFonts w:ascii="Arial" w:hAnsi="Arial" w:cs="Arial"/>
                <w:bCs/>
                <w:sz w:val="22"/>
                <w:szCs w:val="22"/>
              </w:rPr>
              <w:t>0</w:t>
            </w:r>
          </w:p>
        </w:tc>
        <w:tc>
          <w:tcPr>
            <w:tcW w:w="1176" w:type="dxa"/>
          </w:tcPr>
          <w:p w14:paraId="4D981D55"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0</w:t>
            </w:r>
          </w:p>
        </w:tc>
        <w:tc>
          <w:tcPr>
            <w:tcW w:w="1156" w:type="dxa"/>
          </w:tcPr>
          <w:p w14:paraId="5FAA18E6"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0</w:t>
            </w:r>
          </w:p>
        </w:tc>
        <w:tc>
          <w:tcPr>
            <w:tcW w:w="1288" w:type="dxa"/>
            <w:gridSpan w:val="2"/>
            <w:vAlign w:val="center"/>
          </w:tcPr>
          <w:p w14:paraId="1B8A1349"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0</w:t>
            </w:r>
          </w:p>
        </w:tc>
        <w:tc>
          <w:tcPr>
            <w:tcW w:w="2027" w:type="dxa"/>
            <w:vAlign w:val="center"/>
          </w:tcPr>
          <w:p w14:paraId="1B12A84B"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 xml:space="preserve">Achieved </w:t>
            </w:r>
          </w:p>
        </w:tc>
      </w:tr>
      <w:tr w:rsidR="009E1A16" w:rsidRPr="00214A2E" w14:paraId="038551C0" w14:textId="77777777" w:rsidTr="009E1A16">
        <w:tc>
          <w:tcPr>
            <w:tcW w:w="2272" w:type="dxa"/>
            <w:vAlign w:val="center"/>
          </w:tcPr>
          <w:p w14:paraId="64CEAD56" w14:textId="77777777" w:rsidR="009E1A16" w:rsidRPr="00BE3CCB" w:rsidRDefault="009E1A16" w:rsidP="009E1A16">
            <w:pPr>
              <w:rPr>
                <w:rFonts w:ascii="Arial" w:hAnsi="Arial" w:cs="Arial"/>
                <w:bCs/>
                <w:sz w:val="22"/>
                <w:szCs w:val="22"/>
              </w:rPr>
            </w:pPr>
            <w:r w:rsidRPr="00BE3CCB">
              <w:rPr>
                <w:rFonts w:ascii="Arial" w:hAnsi="Arial" w:cs="Arial"/>
                <w:bCs/>
                <w:sz w:val="22"/>
                <w:szCs w:val="22"/>
              </w:rPr>
              <w:t>Lost time injury and/or disease incidence rate</w:t>
            </w:r>
          </w:p>
        </w:tc>
        <w:tc>
          <w:tcPr>
            <w:tcW w:w="1016" w:type="dxa"/>
          </w:tcPr>
          <w:p w14:paraId="67DCA9DC" w14:textId="77777777" w:rsidR="009E1A16" w:rsidRPr="00F35F7C" w:rsidRDefault="009E1A16" w:rsidP="009E1A16">
            <w:pPr>
              <w:rPr>
                <w:rFonts w:ascii="Arial" w:hAnsi="Arial" w:cs="Arial"/>
                <w:bCs/>
                <w:sz w:val="22"/>
                <w:szCs w:val="22"/>
              </w:rPr>
            </w:pPr>
            <w:r>
              <w:rPr>
                <w:rFonts w:ascii="Arial" w:hAnsi="Arial" w:cs="Arial"/>
                <w:bCs/>
                <w:sz w:val="22"/>
                <w:szCs w:val="22"/>
              </w:rPr>
              <w:t>0.86</w:t>
            </w:r>
          </w:p>
        </w:tc>
        <w:tc>
          <w:tcPr>
            <w:tcW w:w="1176" w:type="dxa"/>
          </w:tcPr>
          <w:p w14:paraId="176D5329"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0.2</w:t>
            </w:r>
            <w:r>
              <w:rPr>
                <w:rFonts w:ascii="Arial" w:hAnsi="Arial" w:cs="Arial"/>
                <w:bCs/>
                <w:sz w:val="22"/>
                <w:szCs w:val="22"/>
              </w:rPr>
              <w:t>7</w:t>
            </w:r>
          </w:p>
        </w:tc>
        <w:tc>
          <w:tcPr>
            <w:tcW w:w="1156" w:type="dxa"/>
          </w:tcPr>
          <w:p w14:paraId="581C177F"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0.</w:t>
            </w:r>
            <w:r>
              <w:rPr>
                <w:rFonts w:ascii="Arial" w:hAnsi="Arial" w:cs="Arial"/>
                <w:bCs/>
                <w:sz w:val="22"/>
                <w:szCs w:val="22"/>
              </w:rPr>
              <w:t>58</w:t>
            </w:r>
          </w:p>
        </w:tc>
        <w:tc>
          <w:tcPr>
            <w:tcW w:w="1288" w:type="dxa"/>
            <w:gridSpan w:val="2"/>
            <w:vAlign w:val="center"/>
          </w:tcPr>
          <w:p w14:paraId="48BE478A"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0 or 10% reduction</w:t>
            </w:r>
          </w:p>
        </w:tc>
        <w:tc>
          <w:tcPr>
            <w:tcW w:w="2027" w:type="dxa"/>
            <w:vAlign w:val="center"/>
          </w:tcPr>
          <w:p w14:paraId="46CB6242" w14:textId="77777777" w:rsidR="009E1A16" w:rsidRPr="00F35F7C" w:rsidRDefault="009E1A16" w:rsidP="009E1A16">
            <w:pPr>
              <w:rPr>
                <w:rFonts w:ascii="Arial" w:hAnsi="Arial" w:cs="Arial"/>
                <w:bCs/>
                <w:sz w:val="22"/>
                <w:szCs w:val="22"/>
              </w:rPr>
            </w:pPr>
            <w:r>
              <w:rPr>
                <w:rFonts w:ascii="Arial" w:hAnsi="Arial" w:cs="Arial"/>
                <w:bCs/>
                <w:sz w:val="22"/>
                <w:szCs w:val="22"/>
              </w:rPr>
              <w:t>Not a</w:t>
            </w:r>
            <w:r w:rsidRPr="00F35F7C">
              <w:rPr>
                <w:rFonts w:ascii="Arial" w:hAnsi="Arial" w:cs="Arial"/>
                <w:bCs/>
                <w:sz w:val="22"/>
                <w:szCs w:val="22"/>
              </w:rPr>
              <w:t>chieved</w:t>
            </w:r>
          </w:p>
        </w:tc>
      </w:tr>
      <w:tr w:rsidR="009E1A16" w:rsidRPr="00214A2E" w14:paraId="4843A13E" w14:textId="77777777" w:rsidTr="009E1A16">
        <w:tc>
          <w:tcPr>
            <w:tcW w:w="2272" w:type="dxa"/>
            <w:vAlign w:val="center"/>
          </w:tcPr>
          <w:p w14:paraId="2C9DE913" w14:textId="77777777" w:rsidR="009E1A16" w:rsidRPr="00BE3CCB" w:rsidRDefault="009E1A16" w:rsidP="009E1A16">
            <w:pPr>
              <w:rPr>
                <w:rFonts w:ascii="Arial" w:hAnsi="Arial" w:cs="Arial"/>
                <w:bCs/>
                <w:sz w:val="22"/>
                <w:szCs w:val="22"/>
              </w:rPr>
            </w:pPr>
            <w:r w:rsidRPr="00BE3CCB">
              <w:rPr>
                <w:rFonts w:ascii="Arial" w:hAnsi="Arial" w:cs="Arial"/>
                <w:bCs/>
                <w:sz w:val="22"/>
                <w:szCs w:val="22"/>
              </w:rPr>
              <w:t>Lost time injury and/or disease severity rate</w:t>
            </w:r>
          </w:p>
        </w:tc>
        <w:tc>
          <w:tcPr>
            <w:tcW w:w="1016" w:type="dxa"/>
          </w:tcPr>
          <w:p w14:paraId="41034BD4" w14:textId="77777777" w:rsidR="009E1A16" w:rsidRPr="00F35F7C" w:rsidRDefault="009E1A16" w:rsidP="009E1A16">
            <w:pPr>
              <w:rPr>
                <w:rFonts w:ascii="Arial" w:hAnsi="Arial" w:cs="Arial"/>
                <w:bCs/>
                <w:sz w:val="22"/>
                <w:szCs w:val="22"/>
              </w:rPr>
            </w:pPr>
            <w:r>
              <w:rPr>
                <w:rFonts w:ascii="Arial" w:hAnsi="Arial" w:cs="Arial"/>
                <w:bCs/>
                <w:sz w:val="22"/>
                <w:szCs w:val="22"/>
              </w:rPr>
              <w:t>0</w:t>
            </w:r>
          </w:p>
        </w:tc>
        <w:tc>
          <w:tcPr>
            <w:tcW w:w="1176" w:type="dxa"/>
          </w:tcPr>
          <w:p w14:paraId="3680DA42"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0</w:t>
            </w:r>
          </w:p>
        </w:tc>
        <w:tc>
          <w:tcPr>
            <w:tcW w:w="1156" w:type="dxa"/>
          </w:tcPr>
          <w:p w14:paraId="0841F271"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0</w:t>
            </w:r>
          </w:p>
        </w:tc>
        <w:tc>
          <w:tcPr>
            <w:tcW w:w="1288" w:type="dxa"/>
            <w:gridSpan w:val="2"/>
            <w:vAlign w:val="center"/>
          </w:tcPr>
          <w:p w14:paraId="64FE9212"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0 or 10% reduction</w:t>
            </w:r>
          </w:p>
        </w:tc>
        <w:tc>
          <w:tcPr>
            <w:tcW w:w="2027" w:type="dxa"/>
            <w:vAlign w:val="center"/>
          </w:tcPr>
          <w:p w14:paraId="15369F26"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Achieved</w:t>
            </w:r>
          </w:p>
          <w:p w14:paraId="6B8429C7" w14:textId="77777777" w:rsidR="009E1A16" w:rsidRPr="00F35F7C" w:rsidRDefault="009E1A16" w:rsidP="009E1A16">
            <w:pPr>
              <w:rPr>
                <w:rFonts w:ascii="Arial" w:hAnsi="Arial" w:cs="Arial"/>
                <w:bCs/>
                <w:sz w:val="22"/>
                <w:szCs w:val="22"/>
              </w:rPr>
            </w:pPr>
          </w:p>
        </w:tc>
      </w:tr>
      <w:tr w:rsidR="009E1A16" w:rsidRPr="00214A2E" w14:paraId="0B90E817" w14:textId="77777777" w:rsidTr="009E1A16">
        <w:trPr>
          <w:trHeight w:val="872"/>
        </w:trPr>
        <w:tc>
          <w:tcPr>
            <w:tcW w:w="2272" w:type="dxa"/>
            <w:vMerge w:val="restart"/>
            <w:vAlign w:val="center"/>
          </w:tcPr>
          <w:p w14:paraId="658D9B5E" w14:textId="77777777" w:rsidR="009E1A16" w:rsidRPr="00BE3CCB" w:rsidRDefault="009E1A16" w:rsidP="009E1A16">
            <w:pPr>
              <w:rPr>
                <w:rFonts w:ascii="Arial" w:hAnsi="Arial" w:cs="Arial"/>
                <w:bCs/>
                <w:sz w:val="22"/>
                <w:szCs w:val="22"/>
              </w:rPr>
            </w:pPr>
            <w:r w:rsidRPr="00BE3CCB">
              <w:rPr>
                <w:rFonts w:ascii="Arial" w:hAnsi="Arial" w:cs="Arial"/>
                <w:bCs/>
                <w:sz w:val="22"/>
                <w:szCs w:val="22"/>
              </w:rPr>
              <w:t>Percentage of injured workers returned to work:</w:t>
            </w:r>
          </w:p>
          <w:p w14:paraId="048E48CF" w14:textId="77777777" w:rsidR="009E1A16" w:rsidRPr="00BE3CCB" w:rsidRDefault="009E1A16" w:rsidP="009E1A16">
            <w:pPr>
              <w:rPr>
                <w:rFonts w:ascii="Arial" w:hAnsi="Arial" w:cs="Arial"/>
                <w:bCs/>
                <w:sz w:val="22"/>
                <w:szCs w:val="22"/>
              </w:rPr>
            </w:pPr>
            <w:r w:rsidRPr="00BE3CCB">
              <w:rPr>
                <w:rFonts w:ascii="Arial" w:hAnsi="Arial" w:cs="Arial"/>
                <w:bCs/>
                <w:sz w:val="22"/>
                <w:szCs w:val="22"/>
              </w:rPr>
              <w:t>(</w:t>
            </w:r>
            <w:proofErr w:type="spellStart"/>
            <w:r w:rsidRPr="00BE3CCB">
              <w:rPr>
                <w:rFonts w:ascii="Arial" w:hAnsi="Arial" w:cs="Arial"/>
                <w:bCs/>
                <w:sz w:val="22"/>
                <w:szCs w:val="22"/>
              </w:rPr>
              <w:t>i</w:t>
            </w:r>
            <w:proofErr w:type="spellEnd"/>
            <w:r w:rsidRPr="00BE3CCB">
              <w:rPr>
                <w:rFonts w:ascii="Arial" w:hAnsi="Arial" w:cs="Arial"/>
                <w:bCs/>
                <w:sz w:val="22"/>
                <w:szCs w:val="22"/>
              </w:rPr>
              <w:t>) within 13 weeks</w:t>
            </w:r>
          </w:p>
          <w:p w14:paraId="618BD0A3" w14:textId="77777777" w:rsidR="009E1A16" w:rsidRPr="00BE3CCB" w:rsidRDefault="009E1A16" w:rsidP="009E1A16">
            <w:pPr>
              <w:rPr>
                <w:rFonts w:ascii="Arial" w:hAnsi="Arial" w:cs="Arial"/>
                <w:bCs/>
                <w:sz w:val="22"/>
                <w:szCs w:val="22"/>
              </w:rPr>
            </w:pPr>
            <w:r w:rsidRPr="00BE3CCB">
              <w:rPr>
                <w:rFonts w:ascii="Arial" w:hAnsi="Arial" w:cs="Arial"/>
                <w:bCs/>
                <w:sz w:val="22"/>
                <w:szCs w:val="22"/>
              </w:rPr>
              <w:t>(ii) within 26 weeks</w:t>
            </w:r>
          </w:p>
        </w:tc>
        <w:tc>
          <w:tcPr>
            <w:tcW w:w="1016" w:type="dxa"/>
          </w:tcPr>
          <w:p w14:paraId="4BCFFA32" w14:textId="77777777" w:rsidR="009E1A16" w:rsidRPr="00F35F7C" w:rsidRDefault="009E1A16" w:rsidP="009E1A16">
            <w:pPr>
              <w:rPr>
                <w:rFonts w:ascii="Arial" w:hAnsi="Arial" w:cs="Arial"/>
                <w:bCs/>
                <w:sz w:val="22"/>
                <w:szCs w:val="22"/>
              </w:rPr>
            </w:pPr>
            <w:r>
              <w:rPr>
                <w:rFonts w:ascii="Arial" w:hAnsi="Arial" w:cs="Arial"/>
                <w:bCs/>
                <w:sz w:val="22"/>
                <w:szCs w:val="22"/>
              </w:rPr>
              <w:t>100%</w:t>
            </w:r>
          </w:p>
        </w:tc>
        <w:tc>
          <w:tcPr>
            <w:tcW w:w="1176" w:type="dxa"/>
          </w:tcPr>
          <w:p w14:paraId="04BE291C"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100%</w:t>
            </w:r>
          </w:p>
        </w:tc>
        <w:tc>
          <w:tcPr>
            <w:tcW w:w="1156" w:type="dxa"/>
          </w:tcPr>
          <w:p w14:paraId="0E3BBB97" w14:textId="77777777" w:rsidR="009E1A16" w:rsidRPr="00F35F7C" w:rsidRDefault="009E1A16" w:rsidP="009E1A16">
            <w:pPr>
              <w:rPr>
                <w:rFonts w:ascii="Arial" w:hAnsi="Arial" w:cs="Arial"/>
                <w:bCs/>
                <w:sz w:val="22"/>
                <w:szCs w:val="22"/>
              </w:rPr>
            </w:pPr>
            <w:r>
              <w:rPr>
                <w:rFonts w:ascii="Arial" w:hAnsi="Arial" w:cs="Arial"/>
                <w:bCs/>
                <w:sz w:val="22"/>
                <w:szCs w:val="22"/>
              </w:rPr>
              <w:t>50</w:t>
            </w:r>
            <w:r w:rsidRPr="00F35F7C">
              <w:rPr>
                <w:rFonts w:ascii="Arial" w:hAnsi="Arial" w:cs="Arial"/>
                <w:bCs/>
                <w:sz w:val="22"/>
                <w:szCs w:val="22"/>
              </w:rPr>
              <w:t>%</w:t>
            </w:r>
          </w:p>
        </w:tc>
        <w:tc>
          <w:tcPr>
            <w:tcW w:w="1288" w:type="dxa"/>
            <w:gridSpan w:val="2"/>
            <w:vAlign w:val="center"/>
          </w:tcPr>
          <w:p w14:paraId="24984DF9"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Actual Result</w:t>
            </w:r>
          </w:p>
        </w:tc>
        <w:tc>
          <w:tcPr>
            <w:tcW w:w="2027" w:type="dxa"/>
            <w:vAlign w:val="center"/>
          </w:tcPr>
          <w:p w14:paraId="01F41331" w14:textId="77777777" w:rsidR="009E1A16" w:rsidRPr="00F35F7C" w:rsidRDefault="009E1A16" w:rsidP="009E1A16">
            <w:pPr>
              <w:rPr>
                <w:rFonts w:ascii="Arial" w:hAnsi="Arial" w:cs="Arial"/>
                <w:bCs/>
                <w:sz w:val="22"/>
                <w:szCs w:val="22"/>
              </w:rPr>
            </w:pPr>
            <w:r>
              <w:rPr>
                <w:rFonts w:ascii="Arial" w:hAnsi="Arial" w:cs="Arial"/>
                <w:bCs/>
                <w:sz w:val="22"/>
                <w:szCs w:val="22"/>
              </w:rPr>
              <w:t>-</w:t>
            </w:r>
          </w:p>
        </w:tc>
      </w:tr>
      <w:tr w:rsidR="009E1A16" w:rsidRPr="00214A2E" w14:paraId="38EE4C40" w14:textId="77777777" w:rsidTr="009E1A16">
        <w:tc>
          <w:tcPr>
            <w:tcW w:w="2272" w:type="dxa"/>
            <w:vMerge/>
            <w:vAlign w:val="center"/>
          </w:tcPr>
          <w:p w14:paraId="5124710E" w14:textId="77777777" w:rsidR="009E1A16" w:rsidRPr="00BE3CCB" w:rsidRDefault="009E1A16" w:rsidP="009E1A16">
            <w:pPr>
              <w:rPr>
                <w:rFonts w:ascii="Arial" w:hAnsi="Arial" w:cs="Arial"/>
                <w:bCs/>
                <w:sz w:val="22"/>
                <w:szCs w:val="22"/>
              </w:rPr>
            </w:pPr>
          </w:p>
        </w:tc>
        <w:tc>
          <w:tcPr>
            <w:tcW w:w="1016" w:type="dxa"/>
          </w:tcPr>
          <w:p w14:paraId="7E12077B" w14:textId="77777777" w:rsidR="009E1A16" w:rsidRPr="00F35F7C" w:rsidRDefault="009E1A16" w:rsidP="009E1A16">
            <w:pPr>
              <w:rPr>
                <w:rFonts w:ascii="Arial" w:hAnsi="Arial" w:cs="Arial"/>
                <w:bCs/>
                <w:sz w:val="22"/>
                <w:szCs w:val="22"/>
              </w:rPr>
            </w:pPr>
            <w:r>
              <w:rPr>
                <w:rFonts w:ascii="Arial" w:hAnsi="Arial" w:cs="Arial"/>
                <w:bCs/>
                <w:sz w:val="22"/>
                <w:szCs w:val="22"/>
              </w:rPr>
              <w:t>100%</w:t>
            </w:r>
          </w:p>
        </w:tc>
        <w:tc>
          <w:tcPr>
            <w:tcW w:w="1176" w:type="dxa"/>
          </w:tcPr>
          <w:p w14:paraId="14B5EFB3"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100%</w:t>
            </w:r>
          </w:p>
        </w:tc>
        <w:tc>
          <w:tcPr>
            <w:tcW w:w="1156" w:type="dxa"/>
          </w:tcPr>
          <w:p w14:paraId="22B95CCD" w14:textId="77777777" w:rsidR="009E1A16" w:rsidRPr="00F35F7C" w:rsidRDefault="009E1A16" w:rsidP="009E1A16">
            <w:pPr>
              <w:rPr>
                <w:rFonts w:ascii="Arial" w:hAnsi="Arial" w:cs="Arial"/>
                <w:bCs/>
                <w:sz w:val="22"/>
                <w:szCs w:val="22"/>
              </w:rPr>
            </w:pPr>
            <w:r>
              <w:rPr>
                <w:rFonts w:ascii="Arial" w:hAnsi="Arial" w:cs="Arial"/>
                <w:bCs/>
                <w:sz w:val="22"/>
                <w:szCs w:val="22"/>
              </w:rPr>
              <w:t>50</w:t>
            </w:r>
            <w:r w:rsidRPr="00F35F7C">
              <w:rPr>
                <w:rFonts w:ascii="Arial" w:hAnsi="Arial" w:cs="Arial"/>
                <w:bCs/>
                <w:sz w:val="22"/>
                <w:szCs w:val="22"/>
              </w:rPr>
              <w:t>%</w:t>
            </w:r>
          </w:p>
        </w:tc>
        <w:tc>
          <w:tcPr>
            <w:tcW w:w="1288" w:type="dxa"/>
            <w:gridSpan w:val="2"/>
            <w:vAlign w:val="center"/>
          </w:tcPr>
          <w:p w14:paraId="3C29F5D8"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Greater than or equal to 80% within 26 weeks</w:t>
            </w:r>
          </w:p>
        </w:tc>
        <w:tc>
          <w:tcPr>
            <w:tcW w:w="2027" w:type="dxa"/>
            <w:vAlign w:val="center"/>
          </w:tcPr>
          <w:p w14:paraId="30C94359" w14:textId="77777777" w:rsidR="009E1A16" w:rsidRPr="00F35F7C" w:rsidRDefault="009E1A16" w:rsidP="009E1A16">
            <w:pPr>
              <w:rPr>
                <w:rFonts w:ascii="Arial" w:hAnsi="Arial" w:cs="Arial"/>
                <w:bCs/>
                <w:sz w:val="22"/>
                <w:szCs w:val="22"/>
              </w:rPr>
            </w:pPr>
            <w:r>
              <w:rPr>
                <w:rFonts w:ascii="Arial" w:hAnsi="Arial" w:cs="Arial"/>
                <w:bCs/>
                <w:sz w:val="22"/>
                <w:szCs w:val="22"/>
              </w:rPr>
              <w:t>Not a</w:t>
            </w:r>
            <w:r w:rsidRPr="00F35F7C">
              <w:rPr>
                <w:rFonts w:ascii="Arial" w:hAnsi="Arial" w:cs="Arial"/>
                <w:bCs/>
                <w:sz w:val="22"/>
                <w:szCs w:val="22"/>
              </w:rPr>
              <w:t>chieved</w:t>
            </w:r>
          </w:p>
          <w:p w14:paraId="34298C0B" w14:textId="77777777" w:rsidR="009E1A16" w:rsidRPr="00F35F7C" w:rsidRDefault="009E1A16" w:rsidP="009E1A16">
            <w:pPr>
              <w:rPr>
                <w:rFonts w:ascii="Arial" w:hAnsi="Arial" w:cs="Arial"/>
                <w:bCs/>
                <w:sz w:val="22"/>
                <w:szCs w:val="22"/>
              </w:rPr>
            </w:pPr>
          </w:p>
        </w:tc>
      </w:tr>
      <w:tr w:rsidR="009E1A16" w:rsidRPr="00214A2E" w14:paraId="48183FF4" w14:textId="77777777" w:rsidTr="009E1A16">
        <w:tc>
          <w:tcPr>
            <w:tcW w:w="2272" w:type="dxa"/>
            <w:vAlign w:val="center"/>
          </w:tcPr>
          <w:p w14:paraId="28F00D51" w14:textId="77777777" w:rsidR="009E1A16" w:rsidRPr="00BE3CCB" w:rsidRDefault="009E1A16" w:rsidP="009E1A16">
            <w:pPr>
              <w:rPr>
                <w:rFonts w:ascii="Arial" w:hAnsi="Arial" w:cs="Arial"/>
                <w:bCs/>
                <w:sz w:val="22"/>
                <w:szCs w:val="22"/>
              </w:rPr>
            </w:pPr>
            <w:r w:rsidRPr="00BE3CCB">
              <w:rPr>
                <w:rFonts w:ascii="Arial" w:hAnsi="Arial" w:cs="Arial"/>
                <w:bCs/>
                <w:sz w:val="22"/>
                <w:szCs w:val="22"/>
              </w:rPr>
              <w:lastRenderedPageBreak/>
              <w:t xml:space="preserve">Percentage of managers trained in </w:t>
            </w:r>
            <w:r>
              <w:rPr>
                <w:rFonts w:ascii="Arial" w:hAnsi="Arial" w:cs="Arial"/>
                <w:bCs/>
                <w:sz w:val="22"/>
                <w:szCs w:val="22"/>
              </w:rPr>
              <w:t>OSH</w:t>
            </w:r>
            <w:r w:rsidRPr="00BE3CCB">
              <w:rPr>
                <w:rFonts w:ascii="Arial" w:hAnsi="Arial" w:cs="Arial"/>
                <w:bCs/>
                <w:sz w:val="22"/>
                <w:szCs w:val="22"/>
              </w:rPr>
              <w:t xml:space="preserve"> and injury management responsibilities</w:t>
            </w:r>
          </w:p>
        </w:tc>
        <w:tc>
          <w:tcPr>
            <w:tcW w:w="1016" w:type="dxa"/>
          </w:tcPr>
          <w:p w14:paraId="1C3B9CA4" w14:textId="77777777" w:rsidR="009E1A16" w:rsidRPr="00F35F7C" w:rsidRDefault="009E1A16" w:rsidP="009E1A16">
            <w:pPr>
              <w:rPr>
                <w:rFonts w:ascii="Arial" w:hAnsi="Arial" w:cs="Arial"/>
                <w:bCs/>
                <w:sz w:val="22"/>
                <w:szCs w:val="22"/>
              </w:rPr>
            </w:pPr>
            <w:r>
              <w:rPr>
                <w:rFonts w:ascii="Arial" w:hAnsi="Arial" w:cs="Arial"/>
                <w:bCs/>
                <w:sz w:val="22"/>
                <w:szCs w:val="22"/>
              </w:rPr>
              <w:t>49%</w:t>
            </w:r>
          </w:p>
        </w:tc>
        <w:tc>
          <w:tcPr>
            <w:tcW w:w="1176" w:type="dxa"/>
          </w:tcPr>
          <w:p w14:paraId="35F50C9B"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88%</w:t>
            </w:r>
          </w:p>
        </w:tc>
        <w:tc>
          <w:tcPr>
            <w:tcW w:w="1156" w:type="dxa"/>
          </w:tcPr>
          <w:p w14:paraId="14F165A9" w14:textId="77777777" w:rsidR="009E1A16" w:rsidRPr="00F35F7C" w:rsidRDefault="009E1A16" w:rsidP="009E1A16">
            <w:pPr>
              <w:rPr>
                <w:rFonts w:ascii="Arial" w:hAnsi="Arial" w:cs="Arial"/>
                <w:bCs/>
                <w:sz w:val="22"/>
                <w:szCs w:val="22"/>
              </w:rPr>
            </w:pPr>
            <w:r>
              <w:rPr>
                <w:rFonts w:ascii="Arial" w:hAnsi="Arial" w:cs="Arial"/>
                <w:bCs/>
                <w:sz w:val="22"/>
                <w:szCs w:val="22"/>
              </w:rPr>
              <w:t>7</w:t>
            </w:r>
            <w:r w:rsidRPr="00F35F7C">
              <w:rPr>
                <w:rFonts w:ascii="Arial" w:hAnsi="Arial" w:cs="Arial"/>
                <w:bCs/>
                <w:sz w:val="22"/>
                <w:szCs w:val="22"/>
              </w:rPr>
              <w:t>8%</w:t>
            </w:r>
          </w:p>
        </w:tc>
        <w:tc>
          <w:tcPr>
            <w:tcW w:w="1288" w:type="dxa"/>
            <w:gridSpan w:val="2"/>
            <w:vAlign w:val="center"/>
          </w:tcPr>
          <w:p w14:paraId="0BD5C596" w14:textId="77777777" w:rsidR="009E1A16" w:rsidRPr="00F35F7C" w:rsidRDefault="009E1A16" w:rsidP="009E1A16">
            <w:pPr>
              <w:rPr>
                <w:rFonts w:ascii="Arial" w:hAnsi="Arial" w:cs="Arial"/>
                <w:bCs/>
                <w:sz w:val="22"/>
                <w:szCs w:val="22"/>
              </w:rPr>
            </w:pPr>
            <w:r w:rsidRPr="00F35F7C">
              <w:rPr>
                <w:rFonts w:ascii="Arial" w:hAnsi="Arial" w:cs="Arial"/>
                <w:bCs/>
                <w:sz w:val="22"/>
                <w:szCs w:val="22"/>
              </w:rPr>
              <w:t>Greater than or equal to 80%</w:t>
            </w:r>
          </w:p>
        </w:tc>
        <w:tc>
          <w:tcPr>
            <w:tcW w:w="2027" w:type="dxa"/>
            <w:vAlign w:val="center"/>
          </w:tcPr>
          <w:p w14:paraId="2309C005" w14:textId="77777777" w:rsidR="009E1A16" w:rsidRPr="00F35F7C" w:rsidRDefault="009E1A16" w:rsidP="009E1A16">
            <w:pPr>
              <w:rPr>
                <w:rFonts w:ascii="Arial" w:hAnsi="Arial" w:cs="Arial"/>
                <w:bCs/>
                <w:sz w:val="22"/>
                <w:szCs w:val="22"/>
              </w:rPr>
            </w:pPr>
            <w:r>
              <w:rPr>
                <w:rFonts w:ascii="Arial" w:hAnsi="Arial" w:cs="Arial"/>
                <w:bCs/>
                <w:sz w:val="22"/>
                <w:szCs w:val="22"/>
              </w:rPr>
              <w:t>Not a</w:t>
            </w:r>
            <w:r w:rsidRPr="00F35F7C">
              <w:rPr>
                <w:rFonts w:ascii="Arial" w:hAnsi="Arial" w:cs="Arial"/>
                <w:bCs/>
                <w:sz w:val="22"/>
                <w:szCs w:val="22"/>
              </w:rPr>
              <w:t xml:space="preserve">chieved </w:t>
            </w:r>
          </w:p>
        </w:tc>
      </w:tr>
    </w:tbl>
    <w:p w14:paraId="655A600F" w14:textId="77777777" w:rsidR="009E1A16" w:rsidRDefault="009E1A16" w:rsidP="009E1A16">
      <w:pPr>
        <w:rPr>
          <w:rFonts w:ascii="Arial" w:hAnsi="Arial" w:cs="Arial"/>
        </w:rPr>
      </w:pPr>
    </w:p>
    <w:p w14:paraId="1EEAC656" w14:textId="346D349D" w:rsidR="009E1A16" w:rsidRPr="009E1A16" w:rsidRDefault="009E1A16" w:rsidP="009E1A16">
      <w:pPr>
        <w:rPr>
          <w:rFonts w:ascii="Arial" w:hAnsi="Arial" w:cs="Arial"/>
          <w:b/>
          <w:sz w:val="28"/>
          <w:szCs w:val="28"/>
        </w:rPr>
      </w:pPr>
      <w:bookmarkStart w:id="94" w:name="_Toc390680605"/>
      <w:r>
        <w:rPr>
          <w:rFonts w:ascii="Arial" w:hAnsi="Arial" w:cs="Arial"/>
          <w:b/>
          <w:sz w:val="28"/>
          <w:szCs w:val="28"/>
        </w:rPr>
        <w:t>6.3.9</w:t>
      </w:r>
      <w:r w:rsidRPr="00B81F24">
        <w:rPr>
          <w:rFonts w:ascii="Arial" w:hAnsi="Arial" w:cs="Arial"/>
          <w:b/>
          <w:sz w:val="28"/>
          <w:szCs w:val="28"/>
        </w:rPr>
        <w:tab/>
        <w:t xml:space="preserve">Market Research and Advertising </w:t>
      </w:r>
      <w:bookmarkEnd w:id="94"/>
      <w:r w:rsidRPr="00B81F24">
        <w:rPr>
          <w:rFonts w:ascii="Arial" w:hAnsi="Arial" w:cs="Arial"/>
          <w:b/>
          <w:sz w:val="28"/>
          <w:szCs w:val="28"/>
        </w:rPr>
        <w:t>Expenditure</w:t>
      </w:r>
    </w:p>
    <w:p w14:paraId="2FC7894A" w14:textId="77777777" w:rsidR="009E1A16" w:rsidRDefault="009E1A16" w:rsidP="009E1A16">
      <w:pPr>
        <w:rPr>
          <w:rFonts w:ascii="Arial" w:hAnsi="Arial" w:cs="Arial"/>
        </w:rPr>
      </w:pPr>
      <w:r>
        <w:rPr>
          <w:rFonts w:ascii="Arial" w:hAnsi="Arial" w:cs="Arial"/>
        </w:rPr>
        <w:t xml:space="preserve">The Insurance Commission incurred $47,601 expenditure in 2018 to advertise job vacancies, motor injury insurance premium rates and the sale of a commercial office building. Expenditure was also incurred to survey RiskCover customers and to direct people injured in vehicle crashes to the Insurance Commission’s website to make a claim.  </w:t>
      </w:r>
    </w:p>
    <w:p w14:paraId="14EAB0A1" w14:textId="77777777" w:rsidR="009E1A16" w:rsidRPr="00B81F24" w:rsidRDefault="009E1A16" w:rsidP="009E1A16">
      <w:pPr>
        <w:rPr>
          <w:rFonts w:ascii="Arial" w:hAnsi="Arial" w:cs="Arial"/>
          <w:b/>
          <w:bCs/>
          <w:i/>
        </w:rPr>
      </w:pPr>
    </w:p>
    <w:p w14:paraId="0A86D4AD" w14:textId="77777777" w:rsidR="009E1A16" w:rsidRPr="00B81F24" w:rsidRDefault="009E1A16" w:rsidP="009E1A16">
      <w:pPr>
        <w:rPr>
          <w:rFonts w:ascii="Arial" w:hAnsi="Arial" w:cs="Arial"/>
          <w:b/>
          <w:bCs/>
          <w:i/>
        </w:rPr>
      </w:pPr>
      <w:r w:rsidRPr="00B81F24">
        <w:rPr>
          <w:rFonts w:ascii="Arial" w:hAnsi="Arial" w:cs="Arial"/>
          <w:b/>
          <w:bCs/>
          <w:i/>
        </w:rPr>
        <w:t>Market Research and Advertising Expenditure</w:t>
      </w:r>
    </w:p>
    <w:p w14:paraId="7199AF8F" w14:textId="77777777" w:rsidR="009E1A16" w:rsidRPr="00B81F24" w:rsidRDefault="009E1A16" w:rsidP="009E1A16">
      <w:pPr>
        <w:rPr>
          <w:rFonts w:ascii="Arial" w:hAnsi="Arial" w:cs="Arial"/>
          <w:b/>
          <w:bCs/>
          <w:i/>
        </w:rPr>
      </w:pPr>
    </w:p>
    <w:tbl>
      <w:tblPr>
        <w:tblW w:w="0" w:type="auto"/>
        <w:jc w:val="center"/>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ook w:val="04A0" w:firstRow="1" w:lastRow="0" w:firstColumn="1" w:lastColumn="0" w:noHBand="0" w:noVBand="1"/>
      </w:tblPr>
      <w:tblGrid>
        <w:gridCol w:w="2660"/>
        <w:gridCol w:w="3544"/>
        <w:gridCol w:w="1134"/>
      </w:tblGrid>
      <w:tr w:rsidR="009E1A16" w:rsidRPr="00B81F24" w14:paraId="0DFF0CD0" w14:textId="77777777" w:rsidTr="009E1A16">
        <w:trPr>
          <w:jc w:val="center"/>
        </w:trPr>
        <w:tc>
          <w:tcPr>
            <w:tcW w:w="2660" w:type="dxa"/>
            <w:shd w:val="clear" w:color="auto" w:fill="44546A"/>
          </w:tcPr>
          <w:p w14:paraId="2FF1026D" w14:textId="77777777" w:rsidR="009E1A16" w:rsidRPr="00B81F24" w:rsidRDefault="009E1A16" w:rsidP="009E1A16">
            <w:pPr>
              <w:rPr>
                <w:rFonts w:ascii="Arial" w:hAnsi="Arial" w:cs="Arial"/>
                <w:b/>
                <w:bCs/>
                <w:lang w:val="en-US"/>
              </w:rPr>
            </w:pPr>
            <w:r w:rsidRPr="00B81F24">
              <w:rPr>
                <w:rFonts w:ascii="Arial" w:hAnsi="Arial" w:cs="Arial"/>
                <w:b/>
                <w:bCs/>
                <w:lang w:val="en-US"/>
              </w:rPr>
              <w:t>Type</w:t>
            </w:r>
          </w:p>
        </w:tc>
        <w:tc>
          <w:tcPr>
            <w:tcW w:w="3544" w:type="dxa"/>
            <w:shd w:val="clear" w:color="auto" w:fill="44546A"/>
          </w:tcPr>
          <w:p w14:paraId="4BF6E4A4" w14:textId="77777777" w:rsidR="009E1A16" w:rsidRPr="00B81F24" w:rsidRDefault="009E1A16" w:rsidP="009E1A16">
            <w:pPr>
              <w:rPr>
                <w:rFonts w:ascii="Arial" w:hAnsi="Arial" w:cs="Arial"/>
                <w:b/>
                <w:bCs/>
                <w:lang w:val="en-US"/>
              </w:rPr>
            </w:pPr>
            <w:proofErr w:type="spellStart"/>
            <w:r w:rsidRPr="00B81F24">
              <w:rPr>
                <w:rFonts w:ascii="Arial" w:hAnsi="Arial" w:cs="Arial"/>
                <w:b/>
                <w:bCs/>
                <w:lang w:val="en-US"/>
              </w:rPr>
              <w:t>Organisation</w:t>
            </w:r>
            <w:proofErr w:type="spellEnd"/>
          </w:p>
        </w:tc>
        <w:tc>
          <w:tcPr>
            <w:tcW w:w="1134" w:type="dxa"/>
            <w:shd w:val="clear" w:color="auto" w:fill="44546A"/>
          </w:tcPr>
          <w:p w14:paraId="59AE47A3" w14:textId="77777777" w:rsidR="009E1A16" w:rsidRPr="00B81F24" w:rsidRDefault="009E1A16" w:rsidP="009E1A16">
            <w:pPr>
              <w:rPr>
                <w:rFonts w:ascii="Arial" w:hAnsi="Arial" w:cs="Arial"/>
                <w:b/>
                <w:bCs/>
                <w:lang w:val="en-US"/>
              </w:rPr>
            </w:pPr>
            <w:r w:rsidRPr="00B81F24">
              <w:rPr>
                <w:rFonts w:ascii="Arial" w:hAnsi="Arial" w:cs="Arial"/>
                <w:b/>
                <w:bCs/>
                <w:lang w:val="en-US"/>
              </w:rPr>
              <w:t>Total</w:t>
            </w:r>
          </w:p>
        </w:tc>
      </w:tr>
      <w:tr w:rsidR="009E1A16" w:rsidRPr="00B81F24" w14:paraId="769ACA4B" w14:textId="77777777" w:rsidTr="009E1A16">
        <w:trPr>
          <w:jc w:val="center"/>
        </w:trPr>
        <w:tc>
          <w:tcPr>
            <w:tcW w:w="2660" w:type="dxa"/>
          </w:tcPr>
          <w:p w14:paraId="0C9B3DD0" w14:textId="77777777" w:rsidR="009E1A16" w:rsidRPr="00B81F24" w:rsidRDefault="009E1A16" w:rsidP="009E1A16">
            <w:pPr>
              <w:rPr>
                <w:rFonts w:ascii="Arial" w:hAnsi="Arial" w:cs="Arial"/>
                <w:b/>
                <w:bCs/>
              </w:rPr>
            </w:pPr>
            <w:r w:rsidRPr="00B81F24">
              <w:rPr>
                <w:rFonts w:ascii="Arial" w:hAnsi="Arial" w:cs="Arial"/>
                <w:b/>
                <w:bCs/>
              </w:rPr>
              <w:t>Advertising Agencies</w:t>
            </w:r>
          </w:p>
        </w:tc>
        <w:tc>
          <w:tcPr>
            <w:tcW w:w="3544" w:type="dxa"/>
          </w:tcPr>
          <w:p w14:paraId="3A9F1B85" w14:textId="77777777" w:rsidR="009E1A16" w:rsidRPr="00B81F24" w:rsidRDefault="009E1A16" w:rsidP="009E1A16">
            <w:pPr>
              <w:rPr>
                <w:rFonts w:ascii="Arial" w:hAnsi="Arial" w:cs="Arial"/>
                <w:b/>
                <w:bCs/>
              </w:rPr>
            </w:pPr>
            <w:proofErr w:type="spellStart"/>
            <w:r w:rsidRPr="00B81F24">
              <w:rPr>
                <w:rFonts w:ascii="Arial" w:hAnsi="Arial" w:cs="Arial"/>
                <w:b/>
                <w:bCs/>
              </w:rPr>
              <w:t>Adcorp</w:t>
            </w:r>
            <w:proofErr w:type="spellEnd"/>
            <w:r w:rsidRPr="00B81F24">
              <w:rPr>
                <w:rFonts w:ascii="Arial" w:hAnsi="Arial" w:cs="Arial"/>
                <w:b/>
                <w:bCs/>
              </w:rPr>
              <w:t xml:space="preserve"> and State Law Publisher</w:t>
            </w:r>
          </w:p>
        </w:tc>
        <w:tc>
          <w:tcPr>
            <w:tcW w:w="1134" w:type="dxa"/>
          </w:tcPr>
          <w:p w14:paraId="04EF97AF" w14:textId="77777777" w:rsidR="009E1A16" w:rsidRPr="00B81F24" w:rsidRDefault="009E1A16" w:rsidP="009E1A16">
            <w:pPr>
              <w:rPr>
                <w:rFonts w:ascii="Arial" w:hAnsi="Arial" w:cs="Arial"/>
                <w:b/>
                <w:bCs/>
              </w:rPr>
            </w:pPr>
            <w:r w:rsidRPr="00B81F24">
              <w:rPr>
                <w:rFonts w:ascii="Arial" w:hAnsi="Arial" w:cs="Arial"/>
                <w:b/>
                <w:bCs/>
              </w:rPr>
              <w:t>$</w:t>
            </w:r>
            <w:r>
              <w:rPr>
                <w:rFonts w:ascii="Arial" w:hAnsi="Arial" w:cs="Arial"/>
                <w:b/>
                <w:bCs/>
              </w:rPr>
              <w:t>6,747</w:t>
            </w:r>
          </w:p>
        </w:tc>
      </w:tr>
      <w:tr w:rsidR="009E1A16" w:rsidRPr="00B81F24" w14:paraId="42281962" w14:textId="77777777" w:rsidTr="009E1A16">
        <w:trPr>
          <w:jc w:val="center"/>
        </w:trPr>
        <w:tc>
          <w:tcPr>
            <w:tcW w:w="2660" w:type="dxa"/>
          </w:tcPr>
          <w:p w14:paraId="2B4FA884" w14:textId="77777777" w:rsidR="009E1A16" w:rsidRPr="00B81F24" w:rsidRDefault="009E1A16" w:rsidP="009E1A16">
            <w:pPr>
              <w:rPr>
                <w:rFonts w:ascii="Arial" w:hAnsi="Arial" w:cs="Arial"/>
                <w:b/>
                <w:bCs/>
              </w:rPr>
            </w:pPr>
            <w:r w:rsidRPr="00B81F24">
              <w:rPr>
                <w:rFonts w:ascii="Arial" w:hAnsi="Arial" w:cs="Arial"/>
                <w:b/>
                <w:bCs/>
              </w:rPr>
              <w:t>Media Advertising</w:t>
            </w:r>
          </w:p>
        </w:tc>
        <w:tc>
          <w:tcPr>
            <w:tcW w:w="3544" w:type="dxa"/>
          </w:tcPr>
          <w:p w14:paraId="2A00A0CD" w14:textId="77777777" w:rsidR="009E1A16" w:rsidRPr="00B81F24" w:rsidRDefault="009E1A16" w:rsidP="009E1A16">
            <w:pPr>
              <w:rPr>
                <w:rFonts w:ascii="Arial" w:hAnsi="Arial" w:cs="Arial"/>
                <w:b/>
                <w:bCs/>
              </w:rPr>
            </w:pPr>
            <w:r>
              <w:rPr>
                <w:rFonts w:ascii="Arial" w:hAnsi="Arial" w:cs="Arial"/>
                <w:b/>
                <w:bCs/>
              </w:rPr>
              <w:t xml:space="preserve">Carat and </w:t>
            </w:r>
            <w:proofErr w:type="spellStart"/>
            <w:r>
              <w:rPr>
                <w:rFonts w:ascii="Arial" w:hAnsi="Arial" w:cs="Arial"/>
                <w:b/>
                <w:bCs/>
              </w:rPr>
              <w:t>Sensis</w:t>
            </w:r>
            <w:proofErr w:type="spellEnd"/>
          </w:p>
        </w:tc>
        <w:tc>
          <w:tcPr>
            <w:tcW w:w="1134" w:type="dxa"/>
          </w:tcPr>
          <w:p w14:paraId="7525B1EF" w14:textId="77777777" w:rsidR="009E1A16" w:rsidRPr="00B81F24" w:rsidRDefault="009E1A16" w:rsidP="009E1A16">
            <w:pPr>
              <w:rPr>
                <w:rFonts w:ascii="Arial" w:hAnsi="Arial" w:cs="Arial"/>
                <w:b/>
                <w:bCs/>
              </w:rPr>
            </w:pPr>
            <w:r w:rsidRPr="00B81F24">
              <w:rPr>
                <w:rFonts w:ascii="Arial" w:hAnsi="Arial" w:cs="Arial"/>
                <w:b/>
                <w:bCs/>
              </w:rPr>
              <w:t>$</w:t>
            </w:r>
            <w:r>
              <w:rPr>
                <w:rFonts w:ascii="Arial" w:hAnsi="Arial" w:cs="Arial"/>
                <w:b/>
                <w:bCs/>
              </w:rPr>
              <w:t>24,964</w:t>
            </w:r>
          </w:p>
        </w:tc>
      </w:tr>
      <w:tr w:rsidR="009E1A16" w:rsidRPr="00B81F24" w14:paraId="1BE1CABD" w14:textId="77777777" w:rsidTr="009E1A16">
        <w:trPr>
          <w:jc w:val="center"/>
        </w:trPr>
        <w:tc>
          <w:tcPr>
            <w:tcW w:w="2660" w:type="dxa"/>
          </w:tcPr>
          <w:p w14:paraId="17628C50" w14:textId="77777777" w:rsidR="009E1A16" w:rsidRPr="00B81F24" w:rsidRDefault="009E1A16" w:rsidP="009E1A16">
            <w:pPr>
              <w:rPr>
                <w:rFonts w:ascii="Arial" w:hAnsi="Arial" w:cs="Arial"/>
                <w:b/>
                <w:bCs/>
              </w:rPr>
            </w:pPr>
            <w:r w:rsidRPr="00B81F24">
              <w:rPr>
                <w:rFonts w:ascii="Arial" w:hAnsi="Arial" w:cs="Arial"/>
                <w:b/>
                <w:bCs/>
              </w:rPr>
              <w:t>Market Research</w:t>
            </w:r>
          </w:p>
        </w:tc>
        <w:tc>
          <w:tcPr>
            <w:tcW w:w="3544" w:type="dxa"/>
          </w:tcPr>
          <w:p w14:paraId="3AAD8605" w14:textId="77777777" w:rsidR="009E1A16" w:rsidRPr="00E94E63" w:rsidRDefault="009E1A16" w:rsidP="009E1A16">
            <w:pPr>
              <w:rPr>
                <w:rFonts w:ascii="Arial" w:hAnsi="Arial" w:cs="Arial"/>
                <w:b/>
                <w:bCs/>
              </w:rPr>
            </w:pPr>
            <w:r w:rsidRPr="00E94E63">
              <w:rPr>
                <w:rFonts w:ascii="Arial" w:hAnsi="Arial" w:cs="Arial"/>
                <w:b/>
                <w:bCs/>
              </w:rPr>
              <w:t xml:space="preserve">Painted Dog Research </w:t>
            </w:r>
          </w:p>
        </w:tc>
        <w:tc>
          <w:tcPr>
            <w:tcW w:w="1134" w:type="dxa"/>
          </w:tcPr>
          <w:p w14:paraId="2DFB470F" w14:textId="77777777" w:rsidR="009E1A16" w:rsidRPr="00E94E63" w:rsidRDefault="009E1A16" w:rsidP="009E1A16">
            <w:pPr>
              <w:rPr>
                <w:rFonts w:ascii="Arial" w:hAnsi="Arial" w:cs="Arial"/>
                <w:b/>
                <w:bCs/>
              </w:rPr>
            </w:pPr>
            <w:r w:rsidRPr="00E94E63">
              <w:rPr>
                <w:rFonts w:ascii="Arial" w:hAnsi="Arial" w:cs="Arial"/>
                <w:b/>
                <w:bCs/>
              </w:rPr>
              <w:t>$15,890</w:t>
            </w:r>
          </w:p>
        </w:tc>
      </w:tr>
      <w:tr w:rsidR="009E1A16" w:rsidRPr="00B81F24" w14:paraId="1847ABE8" w14:textId="77777777" w:rsidTr="009E1A16">
        <w:trPr>
          <w:jc w:val="center"/>
        </w:trPr>
        <w:tc>
          <w:tcPr>
            <w:tcW w:w="6204" w:type="dxa"/>
            <w:gridSpan w:val="2"/>
          </w:tcPr>
          <w:p w14:paraId="402B88A8" w14:textId="77777777" w:rsidR="009E1A16" w:rsidRPr="00B81F24" w:rsidRDefault="009E1A16" w:rsidP="009E1A16">
            <w:pPr>
              <w:rPr>
                <w:rFonts w:ascii="Arial" w:hAnsi="Arial" w:cs="Arial"/>
                <w:b/>
                <w:bCs/>
              </w:rPr>
            </w:pPr>
            <w:r w:rsidRPr="00B81F24">
              <w:rPr>
                <w:rFonts w:ascii="Arial" w:hAnsi="Arial" w:cs="Arial"/>
                <w:b/>
                <w:bCs/>
              </w:rPr>
              <w:t>Total</w:t>
            </w:r>
          </w:p>
        </w:tc>
        <w:tc>
          <w:tcPr>
            <w:tcW w:w="1134" w:type="dxa"/>
          </w:tcPr>
          <w:p w14:paraId="61266042" w14:textId="77777777" w:rsidR="009E1A16" w:rsidRPr="00B81F24" w:rsidRDefault="009E1A16" w:rsidP="009E1A16">
            <w:pPr>
              <w:rPr>
                <w:rFonts w:ascii="Arial" w:hAnsi="Arial" w:cs="Arial"/>
                <w:b/>
                <w:bCs/>
              </w:rPr>
            </w:pPr>
            <w:r w:rsidRPr="00B81F24">
              <w:rPr>
                <w:rFonts w:ascii="Arial" w:hAnsi="Arial" w:cs="Arial"/>
                <w:b/>
                <w:bCs/>
              </w:rPr>
              <w:t>$</w:t>
            </w:r>
            <w:r>
              <w:rPr>
                <w:rFonts w:ascii="Arial" w:hAnsi="Arial" w:cs="Arial"/>
                <w:b/>
                <w:bCs/>
              </w:rPr>
              <w:t>47,601</w:t>
            </w:r>
          </w:p>
        </w:tc>
      </w:tr>
    </w:tbl>
    <w:p w14:paraId="109A944A" w14:textId="77777777" w:rsidR="009E1A16" w:rsidRDefault="009E1A16" w:rsidP="009E1A16">
      <w:pPr>
        <w:rPr>
          <w:rFonts w:ascii="Arial" w:hAnsi="Arial" w:cs="Arial"/>
          <w:lang w:val="en-US"/>
        </w:rPr>
      </w:pPr>
      <w:r>
        <w:rPr>
          <w:rFonts w:ascii="Arial" w:hAnsi="Arial" w:cs="Arial"/>
          <w:lang w:val="en-US"/>
        </w:rPr>
        <w:br/>
      </w:r>
      <w:r w:rsidRPr="00B81F24">
        <w:rPr>
          <w:rFonts w:ascii="Arial" w:hAnsi="Arial" w:cs="Arial"/>
          <w:lang w:val="en-US"/>
        </w:rPr>
        <w:t xml:space="preserve">* No expenses incurred for polling </w:t>
      </w:r>
      <w:r w:rsidRPr="00B81F24">
        <w:rPr>
          <w:rFonts w:ascii="Arial" w:hAnsi="Arial" w:cs="Arial"/>
        </w:rPr>
        <w:t>or</w:t>
      </w:r>
      <w:r w:rsidRPr="00B81F24">
        <w:rPr>
          <w:rFonts w:ascii="Arial" w:hAnsi="Arial" w:cs="Arial"/>
          <w:lang w:val="en-US"/>
        </w:rPr>
        <w:t xml:space="preserve"> direct mail o</w:t>
      </w:r>
      <w:proofErr w:type="spellStart"/>
      <w:r w:rsidRPr="00B81F24">
        <w:rPr>
          <w:rFonts w:ascii="Arial" w:hAnsi="Arial" w:cs="Arial"/>
        </w:rPr>
        <w:t>rganisations</w:t>
      </w:r>
      <w:proofErr w:type="spellEnd"/>
      <w:r w:rsidRPr="00B81F24">
        <w:rPr>
          <w:rFonts w:ascii="Arial" w:hAnsi="Arial" w:cs="Arial"/>
          <w:lang w:val="en-US"/>
        </w:rPr>
        <w:t>.</w:t>
      </w:r>
    </w:p>
    <w:p w14:paraId="1537866B" w14:textId="77777777" w:rsidR="009E1A16" w:rsidRDefault="009E1A16" w:rsidP="009E1A16">
      <w:pPr>
        <w:rPr>
          <w:rFonts w:ascii="Arial" w:hAnsi="Arial" w:cs="Arial"/>
        </w:rPr>
      </w:pPr>
    </w:p>
    <w:p w14:paraId="5896C300" w14:textId="77777777" w:rsidR="00EE33A3" w:rsidRDefault="00EE33A3" w:rsidP="00371A85">
      <w:pPr>
        <w:rPr>
          <w:rFonts w:ascii="Arial" w:hAnsi="Arial" w:cs="Arial"/>
          <w:szCs w:val="24"/>
        </w:rPr>
      </w:pPr>
    </w:p>
    <w:p w14:paraId="2BFAE707" w14:textId="77777777" w:rsidR="00725283" w:rsidRDefault="00725283" w:rsidP="00371A85">
      <w:pPr>
        <w:rPr>
          <w:rFonts w:ascii="Arial" w:hAnsi="Arial" w:cs="Arial"/>
          <w:szCs w:val="24"/>
        </w:rPr>
      </w:pPr>
    </w:p>
    <w:p w14:paraId="537DC026" w14:textId="77777777" w:rsidR="00725283" w:rsidRDefault="00725283" w:rsidP="00371A85">
      <w:pPr>
        <w:rPr>
          <w:rFonts w:ascii="Arial" w:hAnsi="Arial" w:cs="Arial"/>
          <w:szCs w:val="24"/>
        </w:rPr>
      </w:pPr>
    </w:p>
    <w:p w14:paraId="1A414C05" w14:textId="77777777" w:rsidR="00725283" w:rsidRDefault="00725283" w:rsidP="00371A85">
      <w:pPr>
        <w:rPr>
          <w:rFonts w:ascii="Arial" w:hAnsi="Arial" w:cs="Arial"/>
          <w:szCs w:val="24"/>
        </w:rPr>
      </w:pPr>
    </w:p>
    <w:p w14:paraId="560E29F7" w14:textId="77777777" w:rsidR="00725283" w:rsidRDefault="00725283" w:rsidP="00371A85">
      <w:pPr>
        <w:rPr>
          <w:rFonts w:ascii="Arial" w:hAnsi="Arial" w:cs="Arial"/>
          <w:szCs w:val="24"/>
        </w:rPr>
      </w:pPr>
    </w:p>
    <w:p w14:paraId="786CD3E0" w14:textId="77777777" w:rsidR="00725283" w:rsidRDefault="00725283" w:rsidP="00371A85">
      <w:pPr>
        <w:rPr>
          <w:rFonts w:ascii="Arial" w:hAnsi="Arial" w:cs="Arial"/>
          <w:szCs w:val="24"/>
        </w:rPr>
      </w:pPr>
    </w:p>
    <w:p w14:paraId="02092ED7" w14:textId="77777777" w:rsidR="00725283" w:rsidRDefault="00725283" w:rsidP="00371A85">
      <w:pPr>
        <w:rPr>
          <w:rFonts w:ascii="Arial" w:hAnsi="Arial" w:cs="Arial"/>
          <w:szCs w:val="24"/>
        </w:rPr>
      </w:pPr>
    </w:p>
    <w:p w14:paraId="3556A853" w14:textId="77777777" w:rsidR="00725283" w:rsidRDefault="00725283" w:rsidP="00371A85">
      <w:pPr>
        <w:rPr>
          <w:rFonts w:ascii="Arial" w:hAnsi="Arial" w:cs="Arial"/>
          <w:szCs w:val="24"/>
        </w:rPr>
      </w:pPr>
    </w:p>
    <w:p w14:paraId="5884572A" w14:textId="77777777" w:rsidR="00725283" w:rsidRDefault="00725283" w:rsidP="00371A85">
      <w:pPr>
        <w:rPr>
          <w:rFonts w:ascii="Arial" w:hAnsi="Arial" w:cs="Arial"/>
          <w:szCs w:val="24"/>
        </w:rPr>
      </w:pPr>
    </w:p>
    <w:p w14:paraId="6810BD06" w14:textId="77777777" w:rsidR="00725283" w:rsidRDefault="00725283" w:rsidP="00371A85">
      <w:pPr>
        <w:rPr>
          <w:rFonts w:ascii="Arial" w:hAnsi="Arial" w:cs="Arial"/>
          <w:szCs w:val="24"/>
        </w:rPr>
      </w:pPr>
    </w:p>
    <w:p w14:paraId="6530760E" w14:textId="77777777" w:rsidR="00725283" w:rsidRDefault="00725283" w:rsidP="00371A85">
      <w:pPr>
        <w:rPr>
          <w:rFonts w:ascii="Arial" w:hAnsi="Arial" w:cs="Arial"/>
          <w:szCs w:val="24"/>
        </w:rPr>
      </w:pPr>
    </w:p>
    <w:p w14:paraId="0F2DDFFD" w14:textId="77777777" w:rsidR="00725283" w:rsidRDefault="00725283" w:rsidP="00371A85">
      <w:pPr>
        <w:rPr>
          <w:rFonts w:ascii="Arial" w:hAnsi="Arial" w:cs="Arial"/>
          <w:szCs w:val="24"/>
        </w:rPr>
      </w:pPr>
    </w:p>
    <w:p w14:paraId="6DF6ABC6" w14:textId="77777777" w:rsidR="00725283" w:rsidRDefault="00725283" w:rsidP="00371A85">
      <w:pPr>
        <w:rPr>
          <w:rFonts w:ascii="Arial" w:hAnsi="Arial" w:cs="Arial"/>
          <w:szCs w:val="24"/>
        </w:rPr>
      </w:pPr>
    </w:p>
    <w:p w14:paraId="2B28B3FB" w14:textId="77777777" w:rsidR="00725283" w:rsidRDefault="00725283" w:rsidP="00371A85">
      <w:pPr>
        <w:rPr>
          <w:rFonts w:ascii="Arial" w:hAnsi="Arial" w:cs="Arial"/>
          <w:szCs w:val="24"/>
        </w:rPr>
      </w:pPr>
    </w:p>
    <w:p w14:paraId="538D7122" w14:textId="77777777" w:rsidR="00725283" w:rsidRDefault="00725283" w:rsidP="00371A85">
      <w:pPr>
        <w:rPr>
          <w:rFonts w:ascii="Arial" w:hAnsi="Arial" w:cs="Arial"/>
          <w:szCs w:val="24"/>
        </w:rPr>
      </w:pPr>
    </w:p>
    <w:p w14:paraId="743A1418" w14:textId="77777777" w:rsidR="00725283" w:rsidRDefault="00725283" w:rsidP="00371A85">
      <w:pPr>
        <w:rPr>
          <w:rFonts w:ascii="Arial" w:hAnsi="Arial" w:cs="Arial"/>
          <w:szCs w:val="24"/>
        </w:rPr>
      </w:pPr>
    </w:p>
    <w:p w14:paraId="7321C863" w14:textId="77777777" w:rsidR="00725283" w:rsidRDefault="00725283" w:rsidP="00371A85">
      <w:pPr>
        <w:rPr>
          <w:rFonts w:ascii="Arial" w:hAnsi="Arial" w:cs="Arial"/>
          <w:szCs w:val="24"/>
        </w:rPr>
      </w:pPr>
    </w:p>
    <w:p w14:paraId="72117EEA" w14:textId="77777777" w:rsidR="00725283" w:rsidRDefault="00725283" w:rsidP="00371A85">
      <w:pPr>
        <w:rPr>
          <w:rFonts w:ascii="Arial" w:hAnsi="Arial" w:cs="Arial"/>
          <w:szCs w:val="24"/>
        </w:rPr>
      </w:pPr>
    </w:p>
    <w:p w14:paraId="243EC814" w14:textId="77777777" w:rsidR="00725283" w:rsidRDefault="00725283" w:rsidP="00371A85">
      <w:pPr>
        <w:rPr>
          <w:rFonts w:ascii="Arial" w:hAnsi="Arial" w:cs="Arial"/>
          <w:szCs w:val="24"/>
        </w:rPr>
      </w:pPr>
    </w:p>
    <w:p w14:paraId="178E5E7E" w14:textId="77777777" w:rsidR="00725283" w:rsidRDefault="00725283" w:rsidP="00371A85">
      <w:pPr>
        <w:rPr>
          <w:rFonts w:ascii="Arial" w:hAnsi="Arial" w:cs="Arial"/>
          <w:szCs w:val="24"/>
        </w:rPr>
      </w:pPr>
    </w:p>
    <w:p w14:paraId="4BCBB63B" w14:textId="77777777" w:rsidR="00725283" w:rsidRDefault="00725283" w:rsidP="00371A85">
      <w:pPr>
        <w:rPr>
          <w:rFonts w:ascii="Arial" w:hAnsi="Arial" w:cs="Arial"/>
          <w:szCs w:val="24"/>
        </w:rPr>
      </w:pPr>
    </w:p>
    <w:p w14:paraId="611AC096" w14:textId="77777777" w:rsidR="00725283" w:rsidRDefault="00725283" w:rsidP="00371A85">
      <w:pPr>
        <w:rPr>
          <w:rFonts w:ascii="Arial" w:hAnsi="Arial" w:cs="Arial"/>
          <w:szCs w:val="24"/>
        </w:rPr>
      </w:pPr>
    </w:p>
    <w:p w14:paraId="5A5B1B73" w14:textId="77777777" w:rsidR="00725283" w:rsidRDefault="00725283" w:rsidP="00371A85">
      <w:pPr>
        <w:rPr>
          <w:rFonts w:ascii="Arial" w:hAnsi="Arial" w:cs="Arial"/>
          <w:szCs w:val="24"/>
        </w:rPr>
      </w:pPr>
    </w:p>
    <w:p w14:paraId="7438E643" w14:textId="77777777" w:rsidR="00725283" w:rsidRDefault="00725283" w:rsidP="00371A85">
      <w:pPr>
        <w:rPr>
          <w:rFonts w:ascii="Arial" w:hAnsi="Arial" w:cs="Arial"/>
          <w:szCs w:val="24"/>
        </w:rPr>
      </w:pPr>
    </w:p>
    <w:p w14:paraId="2B5507CF" w14:textId="77777777" w:rsidR="00725283" w:rsidRDefault="00725283" w:rsidP="00371A85">
      <w:pPr>
        <w:rPr>
          <w:rFonts w:ascii="Arial" w:hAnsi="Arial" w:cs="Arial"/>
          <w:szCs w:val="24"/>
        </w:rPr>
      </w:pPr>
    </w:p>
    <w:p w14:paraId="01003F14" w14:textId="77777777" w:rsidR="00725283" w:rsidRPr="00D15203" w:rsidRDefault="00725283" w:rsidP="00725283">
      <w:pPr>
        <w:jc w:val="center"/>
        <w:rPr>
          <w:rFonts w:ascii="Arial" w:hAnsi="Arial" w:cs="Arial"/>
          <w:b/>
          <w:highlight w:val="yellow"/>
        </w:rPr>
      </w:pPr>
    </w:p>
    <w:p w14:paraId="01808CC1" w14:textId="77777777" w:rsidR="00725283" w:rsidRPr="00D15203" w:rsidRDefault="00725283" w:rsidP="00725283">
      <w:pPr>
        <w:jc w:val="center"/>
        <w:rPr>
          <w:rFonts w:ascii="Arial" w:hAnsi="Arial" w:cs="Arial"/>
          <w:b/>
          <w:highlight w:val="yellow"/>
        </w:rPr>
      </w:pPr>
    </w:p>
    <w:p w14:paraId="3BA47B37" w14:textId="77777777" w:rsidR="00725283" w:rsidRPr="00D15203" w:rsidRDefault="00725283" w:rsidP="00725283">
      <w:pPr>
        <w:jc w:val="center"/>
        <w:rPr>
          <w:rFonts w:ascii="Arial" w:hAnsi="Arial" w:cs="Arial"/>
          <w:b/>
        </w:rPr>
      </w:pPr>
    </w:p>
    <w:p w14:paraId="3017CDAD" w14:textId="77777777" w:rsidR="00725283" w:rsidRPr="00D15203" w:rsidRDefault="00725283" w:rsidP="00725283">
      <w:pPr>
        <w:jc w:val="center"/>
        <w:rPr>
          <w:rFonts w:ascii="Arial" w:hAnsi="Arial" w:cs="Arial"/>
          <w:b/>
        </w:rPr>
      </w:pPr>
    </w:p>
    <w:p w14:paraId="1C3A252A" w14:textId="77777777" w:rsidR="00725283" w:rsidRPr="00D15203" w:rsidRDefault="00725283" w:rsidP="00725283">
      <w:pPr>
        <w:jc w:val="center"/>
        <w:rPr>
          <w:rFonts w:ascii="Arial" w:hAnsi="Arial" w:cs="Arial"/>
          <w:b/>
        </w:rPr>
      </w:pPr>
    </w:p>
    <w:p w14:paraId="7DB08263" w14:textId="77777777" w:rsidR="00725283" w:rsidRPr="00D15203" w:rsidRDefault="00725283" w:rsidP="00725283">
      <w:pPr>
        <w:jc w:val="center"/>
        <w:rPr>
          <w:rFonts w:ascii="Arial" w:hAnsi="Arial" w:cs="Arial"/>
          <w:b/>
        </w:rPr>
      </w:pPr>
    </w:p>
    <w:p w14:paraId="778710C3" w14:textId="77777777" w:rsidR="00725283" w:rsidRPr="00D15203" w:rsidRDefault="00725283" w:rsidP="00725283">
      <w:pPr>
        <w:jc w:val="center"/>
        <w:rPr>
          <w:rFonts w:ascii="Arial" w:hAnsi="Arial" w:cs="Arial"/>
          <w:b/>
        </w:rPr>
      </w:pPr>
    </w:p>
    <w:p w14:paraId="139B1256" w14:textId="77777777" w:rsidR="00725283" w:rsidRDefault="00725283" w:rsidP="00725283">
      <w:pPr>
        <w:jc w:val="center"/>
        <w:rPr>
          <w:rFonts w:ascii="Arial" w:hAnsi="Arial" w:cs="Arial"/>
          <w:b/>
        </w:rPr>
      </w:pPr>
    </w:p>
    <w:p w14:paraId="3F1B2CB5" w14:textId="77777777" w:rsidR="00725283" w:rsidRDefault="00725283" w:rsidP="00725283">
      <w:pPr>
        <w:jc w:val="center"/>
        <w:rPr>
          <w:rFonts w:ascii="Arial" w:hAnsi="Arial" w:cs="Arial"/>
          <w:b/>
        </w:rPr>
      </w:pPr>
    </w:p>
    <w:p w14:paraId="108EEFD4" w14:textId="77777777" w:rsidR="00725283" w:rsidRDefault="00725283" w:rsidP="00725283">
      <w:pPr>
        <w:jc w:val="center"/>
        <w:rPr>
          <w:rFonts w:ascii="Arial" w:hAnsi="Arial" w:cs="Arial"/>
          <w:b/>
        </w:rPr>
      </w:pPr>
    </w:p>
    <w:p w14:paraId="569343D9" w14:textId="77777777" w:rsidR="00725283" w:rsidRDefault="00725283" w:rsidP="00725283">
      <w:pPr>
        <w:jc w:val="center"/>
        <w:rPr>
          <w:rFonts w:ascii="Arial" w:hAnsi="Arial" w:cs="Arial"/>
          <w:b/>
        </w:rPr>
      </w:pPr>
    </w:p>
    <w:p w14:paraId="6A9EBFA2" w14:textId="77777777" w:rsidR="00725283" w:rsidRPr="00D15203" w:rsidRDefault="00725283" w:rsidP="00725283">
      <w:pPr>
        <w:jc w:val="center"/>
        <w:rPr>
          <w:rFonts w:ascii="Arial" w:hAnsi="Arial" w:cs="Arial"/>
          <w:b/>
        </w:rPr>
      </w:pPr>
    </w:p>
    <w:p w14:paraId="672AA7F4" w14:textId="77777777" w:rsidR="00725283" w:rsidRPr="00D15203" w:rsidRDefault="00725283" w:rsidP="00725283">
      <w:pPr>
        <w:jc w:val="center"/>
        <w:rPr>
          <w:rFonts w:ascii="Arial" w:hAnsi="Arial" w:cs="Arial"/>
          <w:b/>
        </w:rPr>
      </w:pPr>
      <w:r w:rsidRPr="00D15203">
        <w:rPr>
          <w:rFonts w:ascii="Arial" w:hAnsi="Arial" w:cs="Arial"/>
          <w:b/>
          <w:noProof/>
          <w:lang w:eastAsia="en-AU"/>
        </w:rPr>
        <w:drawing>
          <wp:inline distT="0" distB="0" distL="0" distR="0" wp14:anchorId="05846237" wp14:editId="42B89665">
            <wp:extent cx="2076450" cy="644525"/>
            <wp:effectExtent l="19050" t="0" r="0" b="0"/>
            <wp:docPr id="70" name="Picture 4" descr="icwa logo"/>
            <wp:cNvGraphicFramePr/>
            <a:graphic xmlns:a="http://schemas.openxmlformats.org/drawingml/2006/main">
              <a:graphicData uri="http://schemas.openxmlformats.org/drawingml/2006/picture">
                <pic:pic xmlns:pic="http://schemas.openxmlformats.org/drawingml/2006/picture">
                  <pic:nvPicPr>
                    <pic:cNvPr id="1" name="Picture 1" descr="icwa logo"/>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6450" cy="644525"/>
                    </a:xfrm>
                    <a:prstGeom prst="rect">
                      <a:avLst/>
                    </a:prstGeom>
                    <a:noFill/>
                    <a:ln>
                      <a:noFill/>
                    </a:ln>
                  </pic:spPr>
                </pic:pic>
              </a:graphicData>
            </a:graphic>
          </wp:inline>
        </w:drawing>
      </w:r>
    </w:p>
    <w:p w14:paraId="6A7A3060" w14:textId="3E6E864B" w:rsidR="00725283" w:rsidRPr="00D15203" w:rsidRDefault="00725283" w:rsidP="00725283">
      <w:pPr>
        <w:jc w:val="center"/>
        <w:rPr>
          <w:rFonts w:ascii="Arial" w:hAnsi="Arial" w:cs="Arial"/>
          <w:b/>
        </w:rPr>
      </w:pPr>
      <w:r>
        <w:rPr>
          <w:rFonts w:ascii="Arial" w:hAnsi="Arial" w:cs="Arial"/>
          <w:b/>
        </w:rPr>
        <w:br/>
      </w:r>
      <w:r w:rsidRPr="00D15203">
        <w:rPr>
          <w:rFonts w:ascii="Arial" w:hAnsi="Arial" w:cs="Arial"/>
          <w:b/>
        </w:rPr>
        <w:t>icwa.wa.gov.au</w:t>
      </w:r>
    </w:p>
    <w:p w14:paraId="6C9ED2ED" w14:textId="77777777" w:rsidR="00725283" w:rsidRPr="00D15203" w:rsidRDefault="00725283" w:rsidP="00725283">
      <w:pPr>
        <w:jc w:val="center"/>
        <w:rPr>
          <w:rFonts w:ascii="Arial" w:hAnsi="Arial" w:cs="Arial"/>
          <w:b/>
        </w:rPr>
      </w:pPr>
    </w:p>
    <w:p w14:paraId="240EB833" w14:textId="77777777" w:rsidR="00725283" w:rsidRPr="00D15203" w:rsidRDefault="00725283" w:rsidP="00725283">
      <w:pPr>
        <w:jc w:val="center"/>
        <w:rPr>
          <w:rFonts w:ascii="Arial" w:hAnsi="Arial" w:cs="Arial"/>
          <w:b/>
        </w:rPr>
      </w:pPr>
    </w:p>
    <w:p w14:paraId="63BD37CB" w14:textId="77777777" w:rsidR="00725283" w:rsidRPr="00D15203" w:rsidRDefault="00725283" w:rsidP="00725283">
      <w:pPr>
        <w:jc w:val="center"/>
        <w:rPr>
          <w:rFonts w:ascii="Arial" w:hAnsi="Arial" w:cs="Arial"/>
          <w:b/>
        </w:rPr>
      </w:pPr>
    </w:p>
    <w:p w14:paraId="6D125A95" w14:textId="77777777" w:rsidR="00725283" w:rsidRPr="00D15203" w:rsidRDefault="00725283" w:rsidP="00725283">
      <w:pPr>
        <w:jc w:val="center"/>
        <w:rPr>
          <w:rFonts w:ascii="Arial" w:hAnsi="Arial" w:cs="Arial"/>
          <w:b/>
        </w:rPr>
      </w:pPr>
    </w:p>
    <w:p w14:paraId="7429FF49" w14:textId="77777777" w:rsidR="00725283" w:rsidRPr="00D15203" w:rsidRDefault="00725283" w:rsidP="00725283">
      <w:pPr>
        <w:jc w:val="center"/>
        <w:rPr>
          <w:rFonts w:ascii="Arial" w:hAnsi="Arial" w:cs="Arial"/>
          <w:b/>
        </w:rPr>
      </w:pPr>
    </w:p>
    <w:p w14:paraId="0A3388C9" w14:textId="77777777" w:rsidR="00725283" w:rsidRPr="00D15203" w:rsidRDefault="00725283" w:rsidP="00725283">
      <w:pPr>
        <w:jc w:val="center"/>
        <w:rPr>
          <w:rFonts w:ascii="Arial" w:hAnsi="Arial" w:cs="Arial"/>
          <w:b/>
        </w:rPr>
      </w:pPr>
    </w:p>
    <w:p w14:paraId="761344D5" w14:textId="77777777" w:rsidR="00725283" w:rsidRPr="00D15203" w:rsidRDefault="00725283" w:rsidP="00725283">
      <w:pPr>
        <w:jc w:val="center"/>
        <w:rPr>
          <w:rFonts w:ascii="Arial" w:hAnsi="Arial" w:cs="Arial"/>
          <w:b/>
        </w:rPr>
      </w:pPr>
    </w:p>
    <w:p w14:paraId="5C4499F6" w14:textId="77777777" w:rsidR="00725283" w:rsidRPr="00D15203" w:rsidRDefault="00725283" w:rsidP="00725283">
      <w:pPr>
        <w:autoSpaceDE w:val="0"/>
        <w:autoSpaceDN w:val="0"/>
        <w:adjustRightInd w:val="0"/>
        <w:jc w:val="center"/>
        <w:rPr>
          <w:rFonts w:ascii="Arial" w:hAnsi="Arial" w:cs="Arial"/>
          <w:b/>
          <w:bCs/>
          <w:sz w:val="32"/>
          <w:szCs w:val="24"/>
          <w:lang w:val="en-US"/>
        </w:rPr>
      </w:pPr>
      <w:r w:rsidRPr="00D15203">
        <w:rPr>
          <w:rFonts w:ascii="Arial" w:hAnsi="Arial" w:cs="Arial"/>
          <w:b/>
          <w:bCs/>
          <w:sz w:val="32"/>
          <w:szCs w:val="24"/>
          <w:lang w:val="en-US"/>
        </w:rPr>
        <w:t>Insurance Commission of Western Australia</w:t>
      </w:r>
    </w:p>
    <w:p w14:paraId="4ED35280" w14:textId="77777777" w:rsidR="00725283" w:rsidRPr="00D15203" w:rsidRDefault="00725283" w:rsidP="00725283">
      <w:pPr>
        <w:autoSpaceDE w:val="0"/>
        <w:autoSpaceDN w:val="0"/>
        <w:adjustRightInd w:val="0"/>
        <w:jc w:val="center"/>
        <w:rPr>
          <w:rFonts w:ascii="Arial" w:hAnsi="Arial" w:cs="Arial"/>
          <w:sz w:val="28"/>
          <w:szCs w:val="24"/>
          <w:lang w:val="en-US"/>
        </w:rPr>
      </w:pPr>
    </w:p>
    <w:p w14:paraId="1C10D411" w14:textId="77777777" w:rsidR="00725283" w:rsidRPr="00D15203" w:rsidRDefault="00725283" w:rsidP="00725283">
      <w:pPr>
        <w:autoSpaceDE w:val="0"/>
        <w:autoSpaceDN w:val="0"/>
        <w:adjustRightInd w:val="0"/>
        <w:jc w:val="center"/>
        <w:rPr>
          <w:rFonts w:ascii="Arial" w:hAnsi="Arial" w:cs="Arial"/>
          <w:sz w:val="28"/>
          <w:szCs w:val="24"/>
          <w:lang w:val="en-US"/>
        </w:rPr>
      </w:pPr>
      <w:r w:rsidRPr="00D15203">
        <w:rPr>
          <w:rFonts w:ascii="Arial" w:hAnsi="Arial" w:cs="Arial"/>
          <w:sz w:val="28"/>
          <w:szCs w:val="24"/>
          <w:lang w:val="en-US"/>
        </w:rPr>
        <w:t>Forrest</w:t>
      </w:r>
      <w:r>
        <w:rPr>
          <w:rFonts w:ascii="Arial" w:hAnsi="Arial" w:cs="Arial"/>
          <w:sz w:val="28"/>
          <w:szCs w:val="24"/>
          <w:lang w:val="en-US"/>
        </w:rPr>
        <w:t xml:space="preserve"> Centre, 221 St Georges Terrace </w:t>
      </w:r>
      <w:r w:rsidRPr="00D15203">
        <w:rPr>
          <w:rFonts w:ascii="Arial" w:hAnsi="Arial" w:cs="Arial"/>
          <w:sz w:val="28"/>
          <w:szCs w:val="24"/>
          <w:lang w:val="en-US"/>
        </w:rPr>
        <w:t>Perth</w:t>
      </w:r>
      <w:r>
        <w:rPr>
          <w:rFonts w:ascii="Arial" w:hAnsi="Arial" w:cs="Arial"/>
          <w:sz w:val="28"/>
          <w:szCs w:val="24"/>
          <w:lang w:val="en-US"/>
        </w:rPr>
        <w:t xml:space="preserve"> Western Australia</w:t>
      </w:r>
      <w:r w:rsidRPr="00D15203">
        <w:rPr>
          <w:rFonts w:ascii="Arial" w:hAnsi="Arial" w:cs="Arial"/>
          <w:sz w:val="28"/>
          <w:szCs w:val="24"/>
          <w:lang w:val="en-US"/>
        </w:rPr>
        <w:t xml:space="preserve"> 6000</w:t>
      </w:r>
    </w:p>
    <w:p w14:paraId="4CA4424D" w14:textId="77777777" w:rsidR="00725283" w:rsidRPr="00D15203" w:rsidRDefault="00725283" w:rsidP="00725283">
      <w:pPr>
        <w:autoSpaceDE w:val="0"/>
        <w:autoSpaceDN w:val="0"/>
        <w:adjustRightInd w:val="0"/>
        <w:jc w:val="center"/>
        <w:rPr>
          <w:rFonts w:ascii="Arial" w:hAnsi="Arial" w:cs="Arial"/>
          <w:sz w:val="28"/>
          <w:szCs w:val="24"/>
          <w:lang w:val="en-US"/>
        </w:rPr>
      </w:pPr>
      <w:r>
        <w:rPr>
          <w:rFonts w:ascii="Arial" w:hAnsi="Arial" w:cs="Arial"/>
          <w:sz w:val="28"/>
          <w:szCs w:val="24"/>
          <w:lang w:val="en-US"/>
        </w:rPr>
        <w:t>GPO Box U1908 Perth Western Australia</w:t>
      </w:r>
      <w:r w:rsidRPr="00D15203">
        <w:rPr>
          <w:rFonts w:ascii="Arial" w:hAnsi="Arial" w:cs="Arial"/>
          <w:sz w:val="28"/>
          <w:szCs w:val="24"/>
          <w:lang w:val="en-US"/>
        </w:rPr>
        <w:t xml:space="preserve"> 6845</w:t>
      </w:r>
    </w:p>
    <w:p w14:paraId="549071AB" w14:textId="77777777" w:rsidR="00725283" w:rsidRDefault="00725283" w:rsidP="00725283">
      <w:pPr>
        <w:autoSpaceDE w:val="0"/>
        <w:autoSpaceDN w:val="0"/>
        <w:adjustRightInd w:val="0"/>
        <w:jc w:val="center"/>
        <w:rPr>
          <w:rFonts w:ascii="Arial" w:hAnsi="Arial" w:cs="Arial"/>
          <w:sz w:val="28"/>
          <w:szCs w:val="24"/>
          <w:lang w:val="en-US"/>
        </w:rPr>
      </w:pPr>
      <w:r w:rsidRPr="00D15203">
        <w:rPr>
          <w:rFonts w:ascii="Arial" w:hAnsi="Arial" w:cs="Arial"/>
          <w:sz w:val="28"/>
          <w:szCs w:val="24"/>
          <w:lang w:val="en-US"/>
        </w:rPr>
        <w:t xml:space="preserve">T: +61 8 9264 3333 </w:t>
      </w:r>
    </w:p>
    <w:p w14:paraId="446583F7" w14:textId="77777777" w:rsidR="00725283" w:rsidRPr="00D15203" w:rsidRDefault="00725283" w:rsidP="00725283">
      <w:pPr>
        <w:autoSpaceDE w:val="0"/>
        <w:autoSpaceDN w:val="0"/>
        <w:adjustRightInd w:val="0"/>
        <w:jc w:val="center"/>
        <w:rPr>
          <w:rFonts w:ascii="Arial" w:hAnsi="Arial" w:cs="Arial"/>
          <w:sz w:val="28"/>
          <w:szCs w:val="24"/>
          <w:lang w:val="en-US"/>
        </w:rPr>
      </w:pPr>
      <w:r w:rsidRPr="00D15203">
        <w:rPr>
          <w:rFonts w:ascii="Arial" w:hAnsi="Arial" w:cs="Arial"/>
          <w:sz w:val="28"/>
          <w:szCs w:val="24"/>
          <w:lang w:val="en-US"/>
        </w:rPr>
        <w:t xml:space="preserve">E: </w:t>
      </w:r>
      <w:hyperlink r:id="rId54" w:history="1">
        <w:r w:rsidRPr="00D15203">
          <w:rPr>
            <w:rFonts w:ascii="Arial" w:hAnsi="Arial" w:cs="Arial"/>
            <w:sz w:val="28"/>
            <w:szCs w:val="24"/>
            <w:lang w:val="en-US"/>
          </w:rPr>
          <w:t>public.relations@icwa.wa.gov.au</w:t>
        </w:r>
      </w:hyperlink>
    </w:p>
    <w:p w14:paraId="78196337" w14:textId="77777777" w:rsidR="00725283" w:rsidRPr="00371A85" w:rsidRDefault="00725283" w:rsidP="00371A85">
      <w:pPr>
        <w:rPr>
          <w:rFonts w:ascii="Arial" w:hAnsi="Arial" w:cs="Arial"/>
          <w:szCs w:val="24"/>
        </w:rPr>
      </w:pPr>
    </w:p>
    <w:sectPr w:rsidR="00725283" w:rsidRPr="00371A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860E3" w14:textId="77777777" w:rsidR="004F39D7" w:rsidRDefault="004F39D7" w:rsidP="006253A4">
      <w:r>
        <w:separator/>
      </w:r>
    </w:p>
  </w:endnote>
  <w:endnote w:type="continuationSeparator" w:id="0">
    <w:p w14:paraId="0FFAC601" w14:textId="77777777" w:rsidR="004F39D7" w:rsidRDefault="004F39D7" w:rsidP="0062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747"/>
      <w:docPartObj>
        <w:docPartGallery w:val="Page Numbers (Bottom of Page)"/>
        <w:docPartUnique/>
      </w:docPartObj>
    </w:sdtPr>
    <w:sdtEndPr>
      <w:rPr>
        <w:rFonts w:ascii="Arial" w:hAnsi="Arial" w:cs="Arial"/>
        <w:noProof/>
      </w:rPr>
    </w:sdtEndPr>
    <w:sdtContent>
      <w:p w14:paraId="7D337668" w14:textId="07A2E306" w:rsidR="004F39D7" w:rsidRPr="00CD422C" w:rsidRDefault="004F39D7">
        <w:pPr>
          <w:pStyle w:val="Footer"/>
          <w:jc w:val="right"/>
          <w:rPr>
            <w:rFonts w:ascii="Arial" w:hAnsi="Arial" w:cs="Arial"/>
          </w:rPr>
        </w:pPr>
        <w:r w:rsidRPr="00CD422C">
          <w:rPr>
            <w:rFonts w:ascii="Arial" w:hAnsi="Arial" w:cs="Arial"/>
          </w:rPr>
          <w:fldChar w:fldCharType="begin"/>
        </w:r>
        <w:r w:rsidRPr="00CD422C">
          <w:rPr>
            <w:rFonts w:ascii="Arial" w:hAnsi="Arial" w:cs="Arial"/>
          </w:rPr>
          <w:instrText xml:space="preserve"> PAGE   \* MERGEFORMAT </w:instrText>
        </w:r>
        <w:r w:rsidRPr="00CD422C">
          <w:rPr>
            <w:rFonts w:ascii="Arial" w:hAnsi="Arial" w:cs="Arial"/>
          </w:rPr>
          <w:fldChar w:fldCharType="separate"/>
        </w:r>
        <w:r w:rsidR="00FD78ED">
          <w:rPr>
            <w:rFonts w:ascii="Arial" w:hAnsi="Arial" w:cs="Arial"/>
            <w:noProof/>
          </w:rPr>
          <w:t>2</w:t>
        </w:r>
        <w:r w:rsidRPr="00CD422C">
          <w:rPr>
            <w:rFonts w:ascii="Arial" w:hAnsi="Arial" w:cs="Arial"/>
            <w:noProof/>
          </w:rPr>
          <w:fldChar w:fldCharType="end"/>
        </w:r>
      </w:p>
    </w:sdtContent>
  </w:sdt>
  <w:p w14:paraId="0102F91D" w14:textId="77777777" w:rsidR="004F39D7" w:rsidRDefault="004F3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C25EA" w14:textId="77777777" w:rsidR="004F39D7" w:rsidRDefault="004F39D7" w:rsidP="006253A4">
      <w:r>
        <w:separator/>
      </w:r>
    </w:p>
  </w:footnote>
  <w:footnote w:type="continuationSeparator" w:id="0">
    <w:p w14:paraId="182D7B4D" w14:textId="77777777" w:rsidR="004F39D7" w:rsidRDefault="004F39D7" w:rsidP="006253A4">
      <w:r>
        <w:continuationSeparator/>
      </w:r>
    </w:p>
  </w:footnote>
  <w:footnote w:id="1">
    <w:p w14:paraId="1A815A0F" w14:textId="62AD603B" w:rsidR="004F39D7" w:rsidRPr="00DA247D" w:rsidRDefault="004F39D7" w:rsidP="006253A4">
      <w:pPr>
        <w:pStyle w:val="FootnoteText"/>
        <w:spacing w:after="0" w:line="240" w:lineRule="auto"/>
        <w:rPr>
          <w:rFonts w:ascii="Arial" w:hAnsi="Arial" w:cs="Arial"/>
          <w:sz w:val="18"/>
        </w:rPr>
      </w:pPr>
      <w:r w:rsidRPr="00DA247D">
        <w:rPr>
          <w:rStyle w:val="FootnoteReference"/>
          <w:rFonts w:ascii="Arial" w:hAnsi="Arial" w:cs="Arial"/>
          <w:sz w:val="18"/>
        </w:rPr>
        <w:footnoteRef/>
      </w:r>
      <w:r w:rsidRPr="00DA247D">
        <w:rPr>
          <w:rFonts w:ascii="Arial" w:hAnsi="Arial" w:cs="Arial"/>
          <w:sz w:val="18"/>
        </w:rPr>
        <w:t xml:space="preserve"> The year ended 30 June 201</w:t>
      </w:r>
      <w:r>
        <w:rPr>
          <w:rFonts w:ascii="Arial" w:hAnsi="Arial" w:cs="Arial"/>
          <w:sz w:val="18"/>
        </w:rPr>
        <w:t>8 is referred to herein as 2018</w:t>
      </w:r>
      <w:r w:rsidRPr="00DA247D">
        <w:rPr>
          <w:rFonts w:ascii="Arial" w:hAnsi="Arial" w:cs="Arial"/>
          <w:sz w:val="18"/>
        </w:rPr>
        <w:t xml:space="preserve">. </w:t>
      </w:r>
      <w:r>
        <w:rPr>
          <w:rFonts w:ascii="Arial" w:hAnsi="Arial" w:cs="Arial"/>
          <w:sz w:val="18"/>
        </w:rPr>
        <w:t>Similar</w:t>
      </w:r>
      <w:r w:rsidRPr="00DA247D">
        <w:rPr>
          <w:rFonts w:ascii="Arial" w:hAnsi="Arial" w:cs="Arial"/>
          <w:sz w:val="18"/>
        </w:rPr>
        <w:t xml:space="preserve"> </w:t>
      </w:r>
      <w:r>
        <w:rPr>
          <w:rFonts w:ascii="Arial" w:hAnsi="Arial" w:cs="Arial"/>
          <w:sz w:val="18"/>
        </w:rPr>
        <w:t>terminology</w:t>
      </w:r>
      <w:r w:rsidRPr="00DA247D">
        <w:rPr>
          <w:rFonts w:ascii="Arial" w:hAnsi="Arial" w:cs="Arial"/>
          <w:sz w:val="18"/>
        </w:rPr>
        <w:t xml:space="preserve"> applies for o</w:t>
      </w:r>
      <w:r>
        <w:rPr>
          <w:rFonts w:ascii="Arial" w:hAnsi="Arial" w:cs="Arial"/>
          <w:sz w:val="18"/>
        </w:rPr>
        <w:t>ther years referred to in this A</w:t>
      </w:r>
      <w:r w:rsidRPr="00DA247D">
        <w:rPr>
          <w:rFonts w:ascii="Arial" w:hAnsi="Arial" w:cs="Arial"/>
          <w:sz w:val="18"/>
        </w:rPr>
        <w:t xml:space="preserve">nnual </w:t>
      </w:r>
      <w:r>
        <w:rPr>
          <w:rFonts w:ascii="Arial" w:hAnsi="Arial" w:cs="Arial"/>
          <w:sz w:val="18"/>
        </w:rPr>
        <w:t>R</w:t>
      </w:r>
      <w:r w:rsidRPr="00DA247D">
        <w:rPr>
          <w:rFonts w:ascii="Arial" w:hAnsi="Arial" w:cs="Arial"/>
          <w:sz w:val="18"/>
        </w:rPr>
        <w:t xml:space="preserve">eport.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7BD6"/>
    <w:multiLevelType w:val="hybridMultilevel"/>
    <w:tmpl w:val="CCA2E7D0"/>
    <w:lvl w:ilvl="0" w:tplc="0C090001">
      <w:start w:val="1"/>
      <w:numFmt w:val="bullet"/>
      <w:lvlText w:val=""/>
      <w:lvlJc w:val="left"/>
      <w:pPr>
        <w:ind w:left="720" w:hanging="360"/>
      </w:pPr>
      <w:rPr>
        <w:rFonts w:ascii="Symbol" w:hAnsi="Symbol" w:hint="default"/>
      </w:rPr>
    </w:lvl>
    <w:lvl w:ilvl="1" w:tplc="C6A8BE34">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A54FD"/>
    <w:multiLevelType w:val="hybridMultilevel"/>
    <w:tmpl w:val="7B584B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F44E9B"/>
    <w:multiLevelType w:val="hybridMultilevel"/>
    <w:tmpl w:val="D5104C40"/>
    <w:lvl w:ilvl="0" w:tplc="0C09000F">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15:restartNumberingAfterBreak="0">
    <w:nsid w:val="0E825477"/>
    <w:multiLevelType w:val="hybridMultilevel"/>
    <w:tmpl w:val="3C9824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F14FE"/>
    <w:multiLevelType w:val="hybridMultilevel"/>
    <w:tmpl w:val="1840B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5B5F13"/>
    <w:multiLevelType w:val="hybridMultilevel"/>
    <w:tmpl w:val="2D8496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76291"/>
    <w:multiLevelType w:val="hybridMultilevel"/>
    <w:tmpl w:val="AB9C0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F974CF"/>
    <w:multiLevelType w:val="hybridMultilevel"/>
    <w:tmpl w:val="D536374E"/>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0300E4"/>
    <w:multiLevelType w:val="hybridMultilevel"/>
    <w:tmpl w:val="9230A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C3263A"/>
    <w:multiLevelType w:val="hybridMultilevel"/>
    <w:tmpl w:val="52A02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107503"/>
    <w:multiLevelType w:val="hybridMultilevel"/>
    <w:tmpl w:val="AC3E6F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A2AF9"/>
    <w:multiLevelType w:val="hybridMultilevel"/>
    <w:tmpl w:val="9C808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374D77"/>
    <w:multiLevelType w:val="hybridMultilevel"/>
    <w:tmpl w:val="2CAC4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2100A5"/>
    <w:multiLevelType w:val="hybridMultilevel"/>
    <w:tmpl w:val="B7CA35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63923"/>
    <w:multiLevelType w:val="hybridMultilevel"/>
    <w:tmpl w:val="871EE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3131F6"/>
    <w:multiLevelType w:val="hybridMultilevel"/>
    <w:tmpl w:val="E9C6C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35E6E"/>
    <w:multiLevelType w:val="hybridMultilevel"/>
    <w:tmpl w:val="FE9E8E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A1F6A"/>
    <w:multiLevelType w:val="hybridMultilevel"/>
    <w:tmpl w:val="A9084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8D590C"/>
    <w:multiLevelType w:val="hybridMultilevel"/>
    <w:tmpl w:val="D3EE0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947C16"/>
    <w:multiLevelType w:val="multilevel"/>
    <w:tmpl w:val="475C2A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0" w15:restartNumberingAfterBreak="0">
    <w:nsid w:val="4E6F3C5E"/>
    <w:multiLevelType w:val="hybridMultilevel"/>
    <w:tmpl w:val="30024D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FA23D81"/>
    <w:multiLevelType w:val="hybridMultilevel"/>
    <w:tmpl w:val="037E5C5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CA01A8"/>
    <w:multiLevelType w:val="hybridMultilevel"/>
    <w:tmpl w:val="D5104C40"/>
    <w:lvl w:ilvl="0" w:tplc="0C09000F">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3" w15:restartNumberingAfterBreak="0">
    <w:nsid w:val="5B115671"/>
    <w:multiLevelType w:val="hybridMultilevel"/>
    <w:tmpl w:val="E3B4F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313CA"/>
    <w:multiLevelType w:val="hybridMultilevel"/>
    <w:tmpl w:val="C0C27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5D2261"/>
    <w:multiLevelType w:val="multilevel"/>
    <w:tmpl w:val="B7328F3C"/>
    <w:lvl w:ilvl="0">
      <w:start w:val="5"/>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63950751"/>
    <w:multiLevelType w:val="hybridMultilevel"/>
    <w:tmpl w:val="0804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9949F2"/>
    <w:multiLevelType w:val="hybridMultilevel"/>
    <w:tmpl w:val="3C3E6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7D68DC"/>
    <w:multiLevelType w:val="hybridMultilevel"/>
    <w:tmpl w:val="3EC8E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C36006"/>
    <w:multiLevelType w:val="hybridMultilevel"/>
    <w:tmpl w:val="DA42D068"/>
    <w:lvl w:ilvl="0" w:tplc="0C090001">
      <w:start w:val="1"/>
      <w:numFmt w:val="bullet"/>
      <w:lvlText w:val=""/>
      <w:lvlJc w:val="left"/>
      <w:pPr>
        <w:ind w:left="720" w:hanging="360"/>
      </w:pPr>
      <w:rPr>
        <w:rFonts w:ascii="Symbol" w:hAnsi="Symbol" w:hint="default"/>
      </w:rPr>
    </w:lvl>
    <w:lvl w:ilvl="1" w:tplc="B83E9252">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B07BE"/>
    <w:multiLevelType w:val="hybridMultilevel"/>
    <w:tmpl w:val="EA0A2EB8"/>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2007B5"/>
    <w:multiLevelType w:val="hybridMultilevel"/>
    <w:tmpl w:val="ABF8C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4E6396"/>
    <w:multiLevelType w:val="hybridMultilevel"/>
    <w:tmpl w:val="7644A0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4B54B5"/>
    <w:multiLevelType w:val="hybridMultilevel"/>
    <w:tmpl w:val="C5561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7"/>
  </w:num>
  <w:num w:numId="4">
    <w:abstractNumId w:val="20"/>
  </w:num>
  <w:num w:numId="5">
    <w:abstractNumId w:val="8"/>
  </w:num>
  <w:num w:numId="6">
    <w:abstractNumId w:val="11"/>
  </w:num>
  <w:num w:numId="7">
    <w:abstractNumId w:val="0"/>
  </w:num>
  <w:num w:numId="8">
    <w:abstractNumId w:val="22"/>
  </w:num>
  <w:num w:numId="9">
    <w:abstractNumId w:val="4"/>
  </w:num>
  <w:num w:numId="10">
    <w:abstractNumId w:val="9"/>
  </w:num>
  <w:num w:numId="11">
    <w:abstractNumId w:val="12"/>
  </w:num>
  <w:num w:numId="12">
    <w:abstractNumId w:val="26"/>
  </w:num>
  <w:num w:numId="13">
    <w:abstractNumId w:val="33"/>
  </w:num>
  <w:num w:numId="14">
    <w:abstractNumId w:val="28"/>
  </w:num>
  <w:num w:numId="15">
    <w:abstractNumId w:val="19"/>
  </w:num>
  <w:num w:numId="16">
    <w:abstractNumId w:val="25"/>
  </w:num>
  <w:num w:numId="17">
    <w:abstractNumId w:val="21"/>
  </w:num>
  <w:num w:numId="18">
    <w:abstractNumId w:val="10"/>
  </w:num>
  <w:num w:numId="19">
    <w:abstractNumId w:val="3"/>
  </w:num>
  <w:num w:numId="20">
    <w:abstractNumId w:val="5"/>
  </w:num>
  <w:num w:numId="21">
    <w:abstractNumId w:val="13"/>
  </w:num>
  <w:num w:numId="22">
    <w:abstractNumId w:val="30"/>
  </w:num>
  <w:num w:numId="23">
    <w:abstractNumId w:val="29"/>
  </w:num>
  <w:num w:numId="24">
    <w:abstractNumId w:val="7"/>
  </w:num>
  <w:num w:numId="25">
    <w:abstractNumId w:val="16"/>
  </w:num>
  <w:num w:numId="26">
    <w:abstractNumId w:val="14"/>
  </w:num>
  <w:num w:numId="27">
    <w:abstractNumId w:val="1"/>
  </w:num>
  <w:num w:numId="28">
    <w:abstractNumId w:val="32"/>
  </w:num>
  <w:num w:numId="29">
    <w:abstractNumId w:val="23"/>
  </w:num>
  <w:num w:numId="30">
    <w:abstractNumId w:val="15"/>
  </w:num>
  <w:num w:numId="31">
    <w:abstractNumId w:val="18"/>
  </w:num>
  <w:num w:numId="32">
    <w:abstractNumId w:val="31"/>
  </w:num>
  <w:num w:numId="33">
    <w:abstractNumId w:val="24"/>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readOnly" w:enforcement="1" w:cryptProviderType="rsaAES" w:cryptAlgorithmClass="hash" w:cryptAlgorithmType="typeAny" w:cryptAlgorithmSid="14" w:cryptSpinCount="100000" w:hash="c0Tc5S8f/98Hy5ZRqHZC8tAIqlIFpYnn384cnNUoQE2phiHbJHicyjyI/UVFKnk3soqrcfGl8Am+EG31o6Rojw==" w:salt="TqQtk9vW05yzVLZI6dMCX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A85"/>
    <w:rsid w:val="000E4C18"/>
    <w:rsid w:val="001B472F"/>
    <w:rsid w:val="002065F8"/>
    <w:rsid w:val="002B3D99"/>
    <w:rsid w:val="002B7D83"/>
    <w:rsid w:val="003471E6"/>
    <w:rsid w:val="00371A85"/>
    <w:rsid w:val="004046F0"/>
    <w:rsid w:val="00413666"/>
    <w:rsid w:val="004141F3"/>
    <w:rsid w:val="00477061"/>
    <w:rsid w:val="004927BD"/>
    <w:rsid w:val="004F39D7"/>
    <w:rsid w:val="005D5854"/>
    <w:rsid w:val="0061265A"/>
    <w:rsid w:val="006253A4"/>
    <w:rsid w:val="00655467"/>
    <w:rsid w:val="00725283"/>
    <w:rsid w:val="007753CF"/>
    <w:rsid w:val="007A3C82"/>
    <w:rsid w:val="00802E99"/>
    <w:rsid w:val="009A7694"/>
    <w:rsid w:val="009E1A16"/>
    <w:rsid w:val="00A71515"/>
    <w:rsid w:val="00AD751F"/>
    <w:rsid w:val="00B61EC3"/>
    <w:rsid w:val="00BF3643"/>
    <w:rsid w:val="00C3365E"/>
    <w:rsid w:val="00C61D04"/>
    <w:rsid w:val="00CC3C51"/>
    <w:rsid w:val="00CD422C"/>
    <w:rsid w:val="00D34F48"/>
    <w:rsid w:val="00E306AD"/>
    <w:rsid w:val="00EE33A3"/>
    <w:rsid w:val="00FC08D5"/>
    <w:rsid w:val="00FD78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A8865"/>
  <w15:chartTrackingRefBased/>
  <w15:docId w15:val="{2CAC7A41-E3A5-4184-9C03-C93CDBDC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A85"/>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71A85"/>
    <w:pPr>
      <w:keepNext/>
      <w:outlineLvl w:val="0"/>
    </w:pPr>
    <w:rPr>
      <w:b/>
      <w:sz w:val="32"/>
    </w:rPr>
  </w:style>
  <w:style w:type="paragraph" w:styleId="Heading2">
    <w:name w:val="heading 2"/>
    <w:basedOn w:val="Normal"/>
    <w:next w:val="Normal"/>
    <w:link w:val="Heading2Char"/>
    <w:uiPriority w:val="9"/>
    <w:unhideWhenUsed/>
    <w:qFormat/>
    <w:rsid w:val="00371A8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7694"/>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Heading2">
    <w:name w:val="ARHeading2"/>
    <w:basedOn w:val="Heading2"/>
    <w:link w:val="ARHeading2Char"/>
    <w:qFormat/>
    <w:rsid w:val="00371A85"/>
    <w:pPr>
      <w:jc w:val="left"/>
    </w:pPr>
    <w:rPr>
      <w:rFonts w:ascii="Arial" w:hAnsi="Arial" w:cs="Arial"/>
      <w:b/>
      <w:sz w:val="32"/>
    </w:rPr>
  </w:style>
  <w:style w:type="paragraph" w:customStyle="1" w:styleId="ARHeading3">
    <w:name w:val="ARHeading3"/>
    <w:basedOn w:val="Normal"/>
    <w:link w:val="ARHeading3Char"/>
    <w:qFormat/>
    <w:rsid w:val="00371A85"/>
    <w:pPr>
      <w:jc w:val="left"/>
    </w:pPr>
    <w:rPr>
      <w:rFonts w:ascii="Arial" w:eastAsiaTheme="majorEastAsia" w:hAnsi="Arial" w:cs="Arial"/>
      <w:b/>
      <w:sz w:val="28"/>
      <w:szCs w:val="28"/>
    </w:rPr>
  </w:style>
  <w:style w:type="character" w:customStyle="1" w:styleId="ARHeading2Char">
    <w:name w:val="ARHeading2 Char"/>
    <w:basedOn w:val="DefaultParagraphFont"/>
    <w:link w:val="ARHeading2"/>
    <w:rsid w:val="00655467"/>
    <w:rPr>
      <w:rFonts w:ascii="Arial" w:eastAsiaTheme="majorEastAsia" w:hAnsi="Arial" w:cs="Arial"/>
      <w:b/>
      <w:color w:val="2E74B5" w:themeColor="accent1" w:themeShade="BF"/>
      <w:sz w:val="32"/>
      <w:szCs w:val="26"/>
    </w:rPr>
  </w:style>
  <w:style w:type="table" w:styleId="TableGrid">
    <w:name w:val="Table Grid"/>
    <w:basedOn w:val="TableNormal"/>
    <w:uiPriority w:val="59"/>
    <w:rsid w:val="00371A8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Heading3Char">
    <w:name w:val="ARHeading3 Char"/>
    <w:basedOn w:val="DefaultParagraphFont"/>
    <w:link w:val="ARHeading3"/>
    <w:rsid w:val="00371A85"/>
    <w:rPr>
      <w:rFonts w:ascii="Arial" w:eastAsiaTheme="majorEastAsia" w:hAnsi="Arial" w:cs="Arial"/>
      <w:b/>
      <w:sz w:val="28"/>
      <w:szCs w:val="28"/>
    </w:rPr>
  </w:style>
  <w:style w:type="character" w:customStyle="1" w:styleId="Heading1Char">
    <w:name w:val="Heading 1 Char"/>
    <w:basedOn w:val="DefaultParagraphFont"/>
    <w:link w:val="Heading1"/>
    <w:rsid w:val="00371A85"/>
    <w:rPr>
      <w:rFonts w:ascii="Times New Roman" w:eastAsia="Times New Roman" w:hAnsi="Times New Roman" w:cs="Times New Roman"/>
      <w:b/>
      <w:sz w:val="32"/>
      <w:szCs w:val="20"/>
    </w:rPr>
  </w:style>
  <w:style w:type="character" w:customStyle="1" w:styleId="Heading2Char">
    <w:name w:val="Heading 2 Char"/>
    <w:basedOn w:val="DefaultParagraphFont"/>
    <w:link w:val="Heading2"/>
    <w:uiPriority w:val="9"/>
    <w:rsid w:val="00371A8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71A85"/>
    <w:pPr>
      <w:ind w:left="720"/>
      <w:jc w:val="left"/>
    </w:pPr>
    <w:rPr>
      <w:szCs w:val="24"/>
    </w:rPr>
  </w:style>
  <w:style w:type="paragraph" w:styleId="NormalWeb">
    <w:name w:val="Normal (Web)"/>
    <w:basedOn w:val="Normal"/>
    <w:unhideWhenUsed/>
    <w:rsid w:val="00371A85"/>
    <w:pPr>
      <w:spacing w:before="100" w:beforeAutospacing="1" w:after="100" w:afterAutospacing="1"/>
      <w:jc w:val="left"/>
    </w:pPr>
    <w:rPr>
      <w:szCs w:val="24"/>
      <w:lang w:val="en-US"/>
    </w:rPr>
  </w:style>
  <w:style w:type="paragraph" w:customStyle="1" w:styleId="NormalWeb5">
    <w:name w:val="Normal (Web)5"/>
    <w:basedOn w:val="Normal"/>
    <w:rsid w:val="00371A85"/>
    <w:pPr>
      <w:spacing w:before="100" w:beforeAutospacing="1" w:after="60"/>
      <w:jc w:val="left"/>
    </w:pPr>
    <w:rPr>
      <w:rFonts w:ascii="Arial" w:hAnsi="Arial" w:cs="Arial"/>
      <w:sz w:val="18"/>
      <w:szCs w:val="18"/>
      <w:lang w:val="en-US"/>
    </w:rPr>
  </w:style>
  <w:style w:type="paragraph" w:customStyle="1" w:styleId="MaintextStyleGroup1">
    <w:name w:val="Main text (Style Group 1)"/>
    <w:basedOn w:val="Normal"/>
    <w:uiPriority w:val="99"/>
    <w:rsid w:val="00371A85"/>
    <w:pPr>
      <w:suppressAutoHyphens/>
      <w:autoSpaceDE w:val="0"/>
      <w:autoSpaceDN w:val="0"/>
      <w:adjustRightInd w:val="0"/>
      <w:spacing w:line="280" w:lineRule="atLeast"/>
      <w:jc w:val="left"/>
      <w:textAlignment w:val="center"/>
    </w:pPr>
    <w:rPr>
      <w:rFonts w:ascii="Arial" w:hAnsi="Arial" w:cs="Arial"/>
      <w:color w:val="000000"/>
      <w:szCs w:val="24"/>
      <w:lang w:val="en-GB" w:eastAsia="en-GB"/>
    </w:rPr>
  </w:style>
  <w:style w:type="paragraph" w:customStyle="1" w:styleId="NoParagraphStyle">
    <w:name w:val="[No Paragraph Style]"/>
    <w:rsid w:val="00371A85"/>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en-GB"/>
    </w:rPr>
  </w:style>
  <w:style w:type="character" w:styleId="CommentReference">
    <w:name w:val="annotation reference"/>
    <w:basedOn w:val="DefaultParagraphFont"/>
    <w:uiPriority w:val="99"/>
    <w:semiHidden/>
    <w:unhideWhenUsed/>
    <w:rsid w:val="00371A85"/>
    <w:rPr>
      <w:sz w:val="16"/>
      <w:szCs w:val="16"/>
    </w:rPr>
  </w:style>
  <w:style w:type="paragraph" w:customStyle="1" w:styleId="ARHeading1">
    <w:name w:val="ARHeading1"/>
    <w:basedOn w:val="Heading1"/>
    <w:link w:val="ARHeading1Char"/>
    <w:qFormat/>
    <w:rsid w:val="00371A85"/>
    <w:pPr>
      <w:jc w:val="left"/>
    </w:pPr>
    <w:rPr>
      <w:rFonts w:ascii="Arial" w:hAnsi="Arial" w:cs="Arial"/>
      <w:caps/>
      <w:sz w:val="36"/>
    </w:rPr>
  </w:style>
  <w:style w:type="character" w:customStyle="1" w:styleId="Heading3Char">
    <w:name w:val="Heading 3 Char"/>
    <w:basedOn w:val="DefaultParagraphFont"/>
    <w:link w:val="Heading3"/>
    <w:uiPriority w:val="9"/>
    <w:rsid w:val="009A7694"/>
    <w:rPr>
      <w:rFonts w:asciiTheme="majorHAnsi" w:eastAsiaTheme="majorEastAsia" w:hAnsiTheme="majorHAnsi" w:cstheme="majorBidi"/>
      <w:color w:val="1F4D78" w:themeColor="accent1" w:themeShade="7F"/>
      <w:sz w:val="24"/>
      <w:szCs w:val="24"/>
    </w:rPr>
  </w:style>
  <w:style w:type="character" w:customStyle="1" w:styleId="ARHeading1Char">
    <w:name w:val="ARHeading1 Char"/>
    <w:basedOn w:val="Heading1Char"/>
    <w:link w:val="ARHeading1"/>
    <w:rsid w:val="00371A85"/>
    <w:rPr>
      <w:rFonts w:ascii="Arial" w:eastAsia="Times New Roman" w:hAnsi="Arial" w:cs="Arial"/>
      <w:b/>
      <w:caps/>
      <w:sz w:val="36"/>
      <w:szCs w:val="20"/>
    </w:rPr>
  </w:style>
  <w:style w:type="paragraph" w:styleId="TOC2">
    <w:name w:val="toc 2"/>
    <w:basedOn w:val="Normal"/>
    <w:next w:val="Normal"/>
    <w:autoRedefine/>
    <w:uiPriority w:val="39"/>
    <w:unhideWhenUsed/>
    <w:rsid w:val="00655467"/>
    <w:pPr>
      <w:spacing w:after="100"/>
      <w:ind w:left="240"/>
    </w:pPr>
  </w:style>
  <w:style w:type="paragraph" w:styleId="TOC1">
    <w:name w:val="toc 1"/>
    <w:basedOn w:val="Normal"/>
    <w:next w:val="Normal"/>
    <w:autoRedefine/>
    <w:uiPriority w:val="39"/>
    <w:unhideWhenUsed/>
    <w:rsid w:val="00655467"/>
    <w:pPr>
      <w:spacing w:after="100"/>
    </w:pPr>
  </w:style>
  <w:style w:type="paragraph" w:styleId="TOC3">
    <w:name w:val="toc 3"/>
    <w:basedOn w:val="Normal"/>
    <w:next w:val="Normal"/>
    <w:autoRedefine/>
    <w:uiPriority w:val="39"/>
    <w:unhideWhenUsed/>
    <w:rsid w:val="00655467"/>
    <w:pPr>
      <w:spacing w:after="100"/>
      <w:ind w:left="480"/>
    </w:pPr>
  </w:style>
  <w:style w:type="character" w:styleId="Hyperlink">
    <w:name w:val="Hyperlink"/>
    <w:basedOn w:val="DefaultParagraphFont"/>
    <w:uiPriority w:val="99"/>
    <w:unhideWhenUsed/>
    <w:rsid w:val="00655467"/>
    <w:rPr>
      <w:color w:val="0563C1" w:themeColor="hyperlink"/>
      <w:u w:val="single"/>
    </w:rPr>
  </w:style>
  <w:style w:type="paragraph" w:styleId="Header">
    <w:name w:val="header"/>
    <w:basedOn w:val="Normal"/>
    <w:link w:val="HeaderChar"/>
    <w:rsid w:val="00EE33A3"/>
    <w:pPr>
      <w:tabs>
        <w:tab w:val="center" w:pos="4153"/>
        <w:tab w:val="right" w:pos="8306"/>
      </w:tabs>
    </w:pPr>
  </w:style>
  <w:style w:type="character" w:customStyle="1" w:styleId="HeaderChar">
    <w:name w:val="Header Char"/>
    <w:basedOn w:val="DefaultParagraphFont"/>
    <w:link w:val="Header"/>
    <w:rsid w:val="00EE33A3"/>
    <w:rPr>
      <w:rFonts w:ascii="Times New Roman" w:eastAsia="Times New Roman" w:hAnsi="Times New Roman" w:cs="Times New Roman"/>
      <w:sz w:val="24"/>
      <w:szCs w:val="20"/>
    </w:rPr>
  </w:style>
  <w:style w:type="paragraph" w:styleId="Footer">
    <w:name w:val="footer"/>
    <w:basedOn w:val="Normal"/>
    <w:link w:val="FooterChar"/>
    <w:uiPriority w:val="99"/>
    <w:rsid w:val="00EE33A3"/>
    <w:pPr>
      <w:tabs>
        <w:tab w:val="center" w:pos="4153"/>
        <w:tab w:val="right" w:pos="8306"/>
      </w:tabs>
    </w:pPr>
  </w:style>
  <w:style w:type="character" w:customStyle="1" w:styleId="FooterChar">
    <w:name w:val="Footer Char"/>
    <w:basedOn w:val="DefaultParagraphFont"/>
    <w:link w:val="Footer"/>
    <w:uiPriority w:val="99"/>
    <w:rsid w:val="00EE33A3"/>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EE33A3"/>
    <w:rPr>
      <w:rFonts w:ascii="Tahoma" w:hAnsi="Tahoma" w:cs="Tahoma"/>
      <w:sz w:val="16"/>
      <w:szCs w:val="16"/>
    </w:rPr>
  </w:style>
  <w:style w:type="character" w:customStyle="1" w:styleId="BalloonTextChar">
    <w:name w:val="Balloon Text Char"/>
    <w:basedOn w:val="DefaultParagraphFont"/>
    <w:link w:val="BalloonText"/>
    <w:uiPriority w:val="99"/>
    <w:semiHidden/>
    <w:rsid w:val="00EE33A3"/>
    <w:rPr>
      <w:rFonts w:ascii="Tahoma" w:eastAsia="Times New Roman" w:hAnsi="Tahoma" w:cs="Tahoma"/>
      <w:sz w:val="16"/>
      <w:szCs w:val="16"/>
    </w:rPr>
  </w:style>
  <w:style w:type="character" w:styleId="PlaceholderText">
    <w:name w:val="Placeholder Text"/>
    <w:basedOn w:val="DefaultParagraphFont"/>
    <w:uiPriority w:val="99"/>
    <w:semiHidden/>
    <w:rsid w:val="00EE33A3"/>
    <w:rPr>
      <w:color w:val="808080"/>
    </w:rPr>
  </w:style>
  <w:style w:type="character" w:customStyle="1" w:styleId="Arial12pt">
    <w:name w:val="Arial 12pt"/>
    <w:basedOn w:val="DefaultParagraphFont"/>
    <w:uiPriority w:val="1"/>
    <w:qFormat/>
    <w:rsid w:val="00EE33A3"/>
    <w:rPr>
      <w:rFonts w:ascii="Arial" w:hAnsi="Arial"/>
      <w:sz w:val="24"/>
    </w:rPr>
  </w:style>
  <w:style w:type="character" w:customStyle="1" w:styleId="Arial12ptUppercase">
    <w:name w:val="Arial 12pt Uppercase"/>
    <w:basedOn w:val="DefaultParagraphFont"/>
    <w:uiPriority w:val="1"/>
    <w:qFormat/>
    <w:rsid w:val="00EE33A3"/>
    <w:rPr>
      <w:rFonts w:ascii="Arial" w:hAnsi="Arial"/>
      <w:caps/>
      <w:sz w:val="24"/>
    </w:rPr>
  </w:style>
  <w:style w:type="character" w:customStyle="1" w:styleId="TitlePosition">
    <w:name w:val="Title/Position"/>
    <w:basedOn w:val="DefaultParagraphFont"/>
    <w:uiPriority w:val="1"/>
    <w:qFormat/>
    <w:rsid w:val="00EE33A3"/>
    <w:rPr>
      <w:rFonts w:ascii="Arial Bold" w:hAnsi="Arial Bold"/>
      <w:b/>
      <w:caps/>
      <w:sz w:val="24"/>
    </w:rPr>
  </w:style>
  <w:style w:type="character" w:customStyle="1" w:styleId="Style1">
    <w:name w:val="Style1"/>
    <w:basedOn w:val="DefaultParagraphFont"/>
    <w:uiPriority w:val="1"/>
    <w:qFormat/>
    <w:rsid w:val="00EE33A3"/>
    <w:rPr>
      <w:rFonts w:ascii="Arial Bold" w:hAnsi="Arial Bold"/>
      <w:b/>
      <w:caps/>
      <w:sz w:val="24"/>
    </w:rPr>
  </w:style>
  <w:style w:type="character" w:customStyle="1" w:styleId="FIFooter">
    <w:name w:val="FIFooter"/>
    <w:basedOn w:val="DefaultParagraphFont"/>
    <w:uiPriority w:val="1"/>
    <w:qFormat/>
    <w:rsid w:val="00EE33A3"/>
    <w:rPr>
      <w:rFonts w:ascii="Arial" w:hAnsi="Arial"/>
      <w:sz w:val="22"/>
    </w:rPr>
  </w:style>
  <w:style w:type="character" w:customStyle="1" w:styleId="Arial12pt0">
    <w:name w:val="Arial_12pt"/>
    <w:basedOn w:val="DefaultParagraphFont"/>
    <w:uiPriority w:val="1"/>
    <w:qFormat/>
    <w:rsid w:val="00EE33A3"/>
    <w:rPr>
      <w:rFonts w:ascii="Arial" w:hAnsi="Arial"/>
      <w:sz w:val="24"/>
    </w:rPr>
  </w:style>
  <w:style w:type="character" w:customStyle="1" w:styleId="DateHeading">
    <w:name w:val="Date Heading"/>
    <w:basedOn w:val="DefaultParagraphFont"/>
    <w:uiPriority w:val="1"/>
    <w:qFormat/>
    <w:rsid w:val="00EE33A3"/>
    <w:rPr>
      <w:rFonts w:ascii="Arial Bold" w:hAnsi="Arial Bold"/>
      <w:b/>
      <w:caps/>
      <w:sz w:val="24"/>
    </w:rPr>
  </w:style>
  <w:style w:type="paragraph" w:styleId="CommentText">
    <w:name w:val="annotation text"/>
    <w:basedOn w:val="Normal"/>
    <w:link w:val="CommentTextChar"/>
    <w:uiPriority w:val="99"/>
    <w:semiHidden/>
    <w:unhideWhenUsed/>
    <w:rsid w:val="00EE33A3"/>
    <w:rPr>
      <w:sz w:val="20"/>
    </w:rPr>
  </w:style>
  <w:style w:type="character" w:customStyle="1" w:styleId="CommentTextChar">
    <w:name w:val="Comment Text Char"/>
    <w:basedOn w:val="DefaultParagraphFont"/>
    <w:link w:val="CommentText"/>
    <w:uiPriority w:val="99"/>
    <w:semiHidden/>
    <w:rsid w:val="00EE33A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E33A3"/>
    <w:rPr>
      <w:b/>
      <w:bCs/>
    </w:rPr>
  </w:style>
  <w:style w:type="character" w:customStyle="1" w:styleId="CommentSubjectChar">
    <w:name w:val="Comment Subject Char"/>
    <w:basedOn w:val="CommentTextChar"/>
    <w:link w:val="CommentSubject"/>
    <w:uiPriority w:val="99"/>
    <w:semiHidden/>
    <w:rsid w:val="00EE33A3"/>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6253A4"/>
    <w:pPr>
      <w:spacing w:after="200" w:line="276" w:lineRule="auto"/>
      <w:jc w:val="left"/>
    </w:pPr>
    <w:rPr>
      <w:rFonts w:ascii="Calibri" w:eastAsia="Calibri" w:hAnsi="Calibri"/>
      <w:sz w:val="20"/>
    </w:rPr>
  </w:style>
  <w:style w:type="character" w:customStyle="1" w:styleId="FootnoteTextChar">
    <w:name w:val="Footnote Text Char"/>
    <w:basedOn w:val="DefaultParagraphFont"/>
    <w:link w:val="FootnoteText"/>
    <w:uiPriority w:val="99"/>
    <w:semiHidden/>
    <w:rsid w:val="006253A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253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3339">
      <w:bodyDiv w:val="1"/>
      <w:marLeft w:val="0"/>
      <w:marRight w:val="0"/>
      <w:marTop w:val="0"/>
      <w:marBottom w:val="0"/>
      <w:divBdr>
        <w:top w:val="none" w:sz="0" w:space="0" w:color="auto"/>
        <w:left w:val="none" w:sz="0" w:space="0" w:color="auto"/>
        <w:bottom w:val="none" w:sz="0" w:space="0" w:color="auto"/>
        <w:right w:val="none" w:sz="0" w:space="0" w:color="auto"/>
      </w:divBdr>
    </w:div>
    <w:div w:id="8722026">
      <w:bodyDiv w:val="1"/>
      <w:marLeft w:val="0"/>
      <w:marRight w:val="0"/>
      <w:marTop w:val="0"/>
      <w:marBottom w:val="0"/>
      <w:divBdr>
        <w:top w:val="none" w:sz="0" w:space="0" w:color="auto"/>
        <w:left w:val="none" w:sz="0" w:space="0" w:color="auto"/>
        <w:bottom w:val="none" w:sz="0" w:space="0" w:color="auto"/>
        <w:right w:val="none" w:sz="0" w:space="0" w:color="auto"/>
      </w:divBdr>
    </w:div>
    <w:div w:id="48038806">
      <w:bodyDiv w:val="1"/>
      <w:marLeft w:val="0"/>
      <w:marRight w:val="0"/>
      <w:marTop w:val="0"/>
      <w:marBottom w:val="0"/>
      <w:divBdr>
        <w:top w:val="none" w:sz="0" w:space="0" w:color="auto"/>
        <w:left w:val="none" w:sz="0" w:space="0" w:color="auto"/>
        <w:bottom w:val="none" w:sz="0" w:space="0" w:color="auto"/>
        <w:right w:val="none" w:sz="0" w:space="0" w:color="auto"/>
      </w:divBdr>
    </w:div>
    <w:div w:id="79067885">
      <w:bodyDiv w:val="1"/>
      <w:marLeft w:val="0"/>
      <w:marRight w:val="0"/>
      <w:marTop w:val="0"/>
      <w:marBottom w:val="0"/>
      <w:divBdr>
        <w:top w:val="none" w:sz="0" w:space="0" w:color="auto"/>
        <w:left w:val="none" w:sz="0" w:space="0" w:color="auto"/>
        <w:bottom w:val="none" w:sz="0" w:space="0" w:color="auto"/>
        <w:right w:val="none" w:sz="0" w:space="0" w:color="auto"/>
      </w:divBdr>
    </w:div>
    <w:div w:id="150604885">
      <w:bodyDiv w:val="1"/>
      <w:marLeft w:val="0"/>
      <w:marRight w:val="0"/>
      <w:marTop w:val="0"/>
      <w:marBottom w:val="0"/>
      <w:divBdr>
        <w:top w:val="none" w:sz="0" w:space="0" w:color="auto"/>
        <w:left w:val="none" w:sz="0" w:space="0" w:color="auto"/>
        <w:bottom w:val="none" w:sz="0" w:space="0" w:color="auto"/>
        <w:right w:val="none" w:sz="0" w:space="0" w:color="auto"/>
      </w:divBdr>
    </w:div>
    <w:div w:id="194662745">
      <w:bodyDiv w:val="1"/>
      <w:marLeft w:val="0"/>
      <w:marRight w:val="0"/>
      <w:marTop w:val="0"/>
      <w:marBottom w:val="0"/>
      <w:divBdr>
        <w:top w:val="none" w:sz="0" w:space="0" w:color="auto"/>
        <w:left w:val="none" w:sz="0" w:space="0" w:color="auto"/>
        <w:bottom w:val="none" w:sz="0" w:space="0" w:color="auto"/>
        <w:right w:val="none" w:sz="0" w:space="0" w:color="auto"/>
      </w:divBdr>
    </w:div>
    <w:div w:id="267465632">
      <w:bodyDiv w:val="1"/>
      <w:marLeft w:val="0"/>
      <w:marRight w:val="0"/>
      <w:marTop w:val="0"/>
      <w:marBottom w:val="0"/>
      <w:divBdr>
        <w:top w:val="none" w:sz="0" w:space="0" w:color="auto"/>
        <w:left w:val="none" w:sz="0" w:space="0" w:color="auto"/>
        <w:bottom w:val="none" w:sz="0" w:space="0" w:color="auto"/>
        <w:right w:val="none" w:sz="0" w:space="0" w:color="auto"/>
      </w:divBdr>
    </w:div>
    <w:div w:id="269556772">
      <w:bodyDiv w:val="1"/>
      <w:marLeft w:val="0"/>
      <w:marRight w:val="0"/>
      <w:marTop w:val="0"/>
      <w:marBottom w:val="0"/>
      <w:divBdr>
        <w:top w:val="none" w:sz="0" w:space="0" w:color="auto"/>
        <w:left w:val="none" w:sz="0" w:space="0" w:color="auto"/>
        <w:bottom w:val="none" w:sz="0" w:space="0" w:color="auto"/>
        <w:right w:val="none" w:sz="0" w:space="0" w:color="auto"/>
      </w:divBdr>
    </w:div>
    <w:div w:id="332949525">
      <w:bodyDiv w:val="1"/>
      <w:marLeft w:val="0"/>
      <w:marRight w:val="0"/>
      <w:marTop w:val="0"/>
      <w:marBottom w:val="0"/>
      <w:divBdr>
        <w:top w:val="none" w:sz="0" w:space="0" w:color="auto"/>
        <w:left w:val="none" w:sz="0" w:space="0" w:color="auto"/>
        <w:bottom w:val="none" w:sz="0" w:space="0" w:color="auto"/>
        <w:right w:val="none" w:sz="0" w:space="0" w:color="auto"/>
      </w:divBdr>
    </w:div>
    <w:div w:id="442505501">
      <w:bodyDiv w:val="1"/>
      <w:marLeft w:val="0"/>
      <w:marRight w:val="0"/>
      <w:marTop w:val="0"/>
      <w:marBottom w:val="0"/>
      <w:divBdr>
        <w:top w:val="none" w:sz="0" w:space="0" w:color="auto"/>
        <w:left w:val="none" w:sz="0" w:space="0" w:color="auto"/>
        <w:bottom w:val="none" w:sz="0" w:space="0" w:color="auto"/>
        <w:right w:val="none" w:sz="0" w:space="0" w:color="auto"/>
      </w:divBdr>
    </w:div>
    <w:div w:id="460347889">
      <w:bodyDiv w:val="1"/>
      <w:marLeft w:val="0"/>
      <w:marRight w:val="0"/>
      <w:marTop w:val="0"/>
      <w:marBottom w:val="0"/>
      <w:divBdr>
        <w:top w:val="none" w:sz="0" w:space="0" w:color="auto"/>
        <w:left w:val="none" w:sz="0" w:space="0" w:color="auto"/>
        <w:bottom w:val="none" w:sz="0" w:space="0" w:color="auto"/>
        <w:right w:val="none" w:sz="0" w:space="0" w:color="auto"/>
      </w:divBdr>
    </w:div>
    <w:div w:id="493884944">
      <w:bodyDiv w:val="1"/>
      <w:marLeft w:val="0"/>
      <w:marRight w:val="0"/>
      <w:marTop w:val="0"/>
      <w:marBottom w:val="0"/>
      <w:divBdr>
        <w:top w:val="none" w:sz="0" w:space="0" w:color="auto"/>
        <w:left w:val="none" w:sz="0" w:space="0" w:color="auto"/>
        <w:bottom w:val="none" w:sz="0" w:space="0" w:color="auto"/>
        <w:right w:val="none" w:sz="0" w:space="0" w:color="auto"/>
      </w:divBdr>
    </w:div>
    <w:div w:id="576784871">
      <w:bodyDiv w:val="1"/>
      <w:marLeft w:val="0"/>
      <w:marRight w:val="0"/>
      <w:marTop w:val="0"/>
      <w:marBottom w:val="0"/>
      <w:divBdr>
        <w:top w:val="none" w:sz="0" w:space="0" w:color="auto"/>
        <w:left w:val="none" w:sz="0" w:space="0" w:color="auto"/>
        <w:bottom w:val="none" w:sz="0" w:space="0" w:color="auto"/>
        <w:right w:val="none" w:sz="0" w:space="0" w:color="auto"/>
      </w:divBdr>
    </w:div>
    <w:div w:id="619142206">
      <w:bodyDiv w:val="1"/>
      <w:marLeft w:val="0"/>
      <w:marRight w:val="0"/>
      <w:marTop w:val="0"/>
      <w:marBottom w:val="0"/>
      <w:divBdr>
        <w:top w:val="none" w:sz="0" w:space="0" w:color="auto"/>
        <w:left w:val="none" w:sz="0" w:space="0" w:color="auto"/>
        <w:bottom w:val="none" w:sz="0" w:space="0" w:color="auto"/>
        <w:right w:val="none" w:sz="0" w:space="0" w:color="auto"/>
      </w:divBdr>
    </w:div>
    <w:div w:id="644891215">
      <w:bodyDiv w:val="1"/>
      <w:marLeft w:val="0"/>
      <w:marRight w:val="0"/>
      <w:marTop w:val="0"/>
      <w:marBottom w:val="0"/>
      <w:divBdr>
        <w:top w:val="none" w:sz="0" w:space="0" w:color="auto"/>
        <w:left w:val="none" w:sz="0" w:space="0" w:color="auto"/>
        <w:bottom w:val="none" w:sz="0" w:space="0" w:color="auto"/>
        <w:right w:val="none" w:sz="0" w:space="0" w:color="auto"/>
      </w:divBdr>
    </w:div>
    <w:div w:id="682786579">
      <w:bodyDiv w:val="1"/>
      <w:marLeft w:val="0"/>
      <w:marRight w:val="0"/>
      <w:marTop w:val="0"/>
      <w:marBottom w:val="0"/>
      <w:divBdr>
        <w:top w:val="none" w:sz="0" w:space="0" w:color="auto"/>
        <w:left w:val="none" w:sz="0" w:space="0" w:color="auto"/>
        <w:bottom w:val="none" w:sz="0" w:space="0" w:color="auto"/>
        <w:right w:val="none" w:sz="0" w:space="0" w:color="auto"/>
      </w:divBdr>
    </w:div>
    <w:div w:id="703334556">
      <w:bodyDiv w:val="1"/>
      <w:marLeft w:val="0"/>
      <w:marRight w:val="0"/>
      <w:marTop w:val="0"/>
      <w:marBottom w:val="0"/>
      <w:divBdr>
        <w:top w:val="none" w:sz="0" w:space="0" w:color="auto"/>
        <w:left w:val="none" w:sz="0" w:space="0" w:color="auto"/>
        <w:bottom w:val="none" w:sz="0" w:space="0" w:color="auto"/>
        <w:right w:val="none" w:sz="0" w:space="0" w:color="auto"/>
      </w:divBdr>
    </w:div>
    <w:div w:id="712122487">
      <w:bodyDiv w:val="1"/>
      <w:marLeft w:val="0"/>
      <w:marRight w:val="0"/>
      <w:marTop w:val="0"/>
      <w:marBottom w:val="0"/>
      <w:divBdr>
        <w:top w:val="none" w:sz="0" w:space="0" w:color="auto"/>
        <w:left w:val="none" w:sz="0" w:space="0" w:color="auto"/>
        <w:bottom w:val="none" w:sz="0" w:space="0" w:color="auto"/>
        <w:right w:val="none" w:sz="0" w:space="0" w:color="auto"/>
      </w:divBdr>
    </w:div>
    <w:div w:id="854729586">
      <w:bodyDiv w:val="1"/>
      <w:marLeft w:val="0"/>
      <w:marRight w:val="0"/>
      <w:marTop w:val="0"/>
      <w:marBottom w:val="0"/>
      <w:divBdr>
        <w:top w:val="none" w:sz="0" w:space="0" w:color="auto"/>
        <w:left w:val="none" w:sz="0" w:space="0" w:color="auto"/>
        <w:bottom w:val="none" w:sz="0" w:space="0" w:color="auto"/>
        <w:right w:val="none" w:sz="0" w:space="0" w:color="auto"/>
      </w:divBdr>
    </w:div>
    <w:div w:id="983198558">
      <w:bodyDiv w:val="1"/>
      <w:marLeft w:val="0"/>
      <w:marRight w:val="0"/>
      <w:marTop w:val="0"/>
      <w:marBottom w:val="0"/>
      <w:divBdr>
        <w:top w:val="none" w:sz="0" w:space="0" w:color="auto"/>
        <w:left w:val="none" w:sz="0" w:space="0" w:color="auto"/>
        <w:bottom w:val="none" w:sz="0" w:space="0" w:color="auto"/>
        <w:right w:val="none" w:sz="0" w:space="0" w:color="auto"/>
      </w:divBdr>
    </w:div>
    <w:div w:id="1026979332">
      <w:bodyDiv w:val="1"/>
      <w:marLeft w:val="0"/>
      <w:marRight w:val="0"/>
      <w:marTop w:val="0"/>
      <w:marBottom w:val="0"/>
      <w:divBdr>
        <w:top w:val="none" w:sz="0" w:space="0" w:color="auto"/>
        <w:left w:val="none" w:sz="0" w:space="0" w:color="auto"/>
        <w:bottom w:val="none" w:sz="0" w:space="0" w:color="auto"/>
        <w:right w:val="none" w:sz="0" w:space="0" w:color="auto"/>
      </w:divBdr>
    </w:div>
    <w:div w:id="1029254481">
      <w:bodyDiv w:val="1"/>
      <w:marLeft w:val="0"/>
      <w:marRight w:val="0"/>
      <w:marTop w:val="0"/>
      <w:marBottom w:val="0"/>
      <w:divBdr>
        <w:top w:val="none" w:sz="0" w:space="0" w:color="auto"/>
        <w:left w:val="none" w:sz="0" w:space="0" w:color="auto"/>
        <w:bottom w:val="none" w:sz="0" w:space="0" w:color="auto"/>
        <w:right w:val="none" w:sz="0" w:space="0" w:color="auto"/>
      </w:divBdr>
    </w:div>
    <w:div w:id="1046488035">
      <w:bodyDiv w:val="1"/>
      <w:marLeft w:val="0"/>
      <w:marRight w:val="0"/>
      <w:marTop w:val="0"/>
      <w:marBottom w:val="0"/>
      <w:divBdr>
        <w:top w:val="none" w:sz="0" w:space="0" w:color="auto"/>
        <w:left w:val="none" w:sz="0" w:space="0" w:color="auto"/>
        <w:bottom w:val="none" w:sz="0" w:space="0" w:color="auto"/>
        <w:right w:val="none" w:sz="0" w:space="0" w:color="auto"/>
      </w:divBdr>
    </w:div>
    <w:div w:id="1056589469">
      <w:bodyDiv w:val="1"/>
      <w:marLeft w:val="0"/>
      <w:marRight w:val="0"/>
      <w:marTop w:val="0"/>
      <w:marBottom w:val="0"/>
      <w:divBdr>
        <w:top w:val="none" w:sz="0" w:space="0" w:color="auto"/>
        <w:left w:val="none" w:sz="0" w:space="0" w:color="auto"/>
        <w:bottom w:val="none" w:sz="0" w:space="0" w:color="auto"/>
        <w:right w:val="none" w:sz="0" w:space="0" w:color="auto"/>
      </w:divBdr>
    </w:div>
    <w:div w:id="1076434501">
      <w:bodyDiv w:val="1"/>
      <w:marLeft w:val="0"/>
      <w:marRight w:val="0"/>
      <w:marTop w:val="0"/>
      <w:marBottom w:val="0"/>
      <w:divBdr>
        <w:top w:val="none" w:sz="0" w:space="0" w:color="auto"/>
        <w:left w:val="none" w:sz="0" w:space="0" w:color="auto"/>
        <w:bottom w:val="none" w:sz="0" w:space="0" w:color="auto"/>
        <w:right w:val="none" w:sz="0" w:space="0" w:color="auto"/>
      </w:divBdr>
    </w:div>
    <w:div w:id="1113401686">
      <w:bodyDiv w:val="1"/>
      <w:marLeft w:val="0"/>
      <w:marRight w:val="0"/>
      <w:marTop w:val="0"/>
      <w:marBottom w:val="0"/>
      <w:divBdr>
        <w:top w:val="none" w:sz="0" w:space="0" w:color="auto"/>
        <w:left w:val="none" w:sz="0" w:space="0" w:color="auto"/>
        <w:bottom w:val="none" w:sz="0" w:space="0" w:color="auto"/>
        <w:right w:val="none" w:sz="0" w:space="0" w:color="auto"/>
      </w:divBdr>
    </w:div>
    <w:div w:id="1123379652">
      <w:bodyDiv w:val="1"/>
      <w:marLeft w:val="0"/>
      <w:marRight w:val="0"/>
      <w:marTop w:val="0"/>
      <w:marBottom w:val="0"/>
      <w:divBdr>
        <w:top w:val="none" w:sz="0" w:space="0" w:color="auto"/>
        <w:left w:val="none" w:sz="0" w:space="0" w:color="auto"/>
        <w:bottom w:val="none" w:sz="0" w:space="0" w:color="auto"/>
        <w:right w:val="none" w:sz="0" w:space="0" w:color="auto"/>
      </w:divBdr>
    </w:div>
    <w:div w:id="1223711892">
      <w:bodyDiv w:val="1"/>
      <w:marLeft w:val="0"/>
      <w:marRight w:val="0"/>
      <w:marTop w:val="0"/>
      <w:marBottom w:val="0"/>
      <w:divBdr>
        <w:top w:val="none" w:sz="0" w:space="0" w:color="auto"/>
        <w:left w:val="none" w:sz="0" w:space="0" w:color="auto"/>
        <w:bottom w:val="none" w:sz="0" w:space="0" w:color="auto"/>
        <w:right w:val="none" w:sz="0" w:space="0" w:color="auto"/>
      </w:divBdr>
    </w:div>
    <w:div w:id="1279484760">
      <w:bodyDiv w:val="1"/>
      <w:marLeft w:val="0"/>
      <w:marRight w:val="0"/>
      <w:marTop w:val="0"/>
      <w:marBottom w:val="0"/>
      <w:divBdr>
        <w:top w:val="none" w:sz="0" w:space="0" w:color="auto"/>
        <w:left w:val="none" w:sz="0" w:space="0" w:color="auto"/>
        <w:bottom w:val="none" w:sz="0" w:space="0" w:color="auto"/>
        <w:right w:val="none" w:sz="0" w:space="0" w:color="auto"/>
      </w:divBdr>
    </w:div>
    <w:div w:id="1286623470">
      <w:bodyDiv w:val="1"/>
      <w:marLeft w:val="0"/>
      <w:marRight w:val="0"/>
      <w:marTop w:val="0"/>
      <w:marBottom w:val="0"/>
      <w:divBdr>
        <w:top w:val="none" w:sz="0" w:space="0" w:color="auto"/>
        <w:left w:val="none" w:sz="0" w:space="0" w:color="auto"/>
        <w:bottom w:val="none" w:sz="0" w:space="0" w:color="auto"/>
        <w:right w:val="none" w:sz="0" w:space="0" w:color="auto"/>
      </w:divBdr>
    </w:div>
    <w:div w:id="1292439880">
      <w:bodyDiv w:val="1"/>
      <w:marLeft w:val="0"/>
      <w:marRight w:val="0"/>
      <w:marTop w:val="0"/>
      <w:marBottom w:val="0"/>
      <w:divBdr>
        <w:top w:val="none" w:sz="0" w:space="0" w:color="auto"/>
        <w:left w:val="none" w:sz="0" w:space="0" w:color="auto"/>
        <w:bottom w:val="none" w:sz="0" w:space="0" w:color="auto"/>
        <w:right w:val="none" w:sz="0" w:space="0" w:color="auto"/>
      </w:divBdr>
    </w:div>
    <w:div w:id="1300457607">
      <w:bodyDiv w:val="1"/>
      <w:marLeft w:val="0"/>
      <w:marRight w:val="0"/>
      <w:marTop w:val="0"/>
      <w:marBottom w:val="0"/>
      <w:divBdr>
        <w:top w:val="none" w:sz="0" w:space="0" w:color="auto"/>
        <w:left w:val="none" w:sz="0" w:space="0" w:color="auto"/>
        <w:bottom w:val="none" w:sz="0" w:space="0" w:color="auto"/>
        <w:right w:val="none" w:sz="0" w:space="0" w:color="auto"/>
      </w:divBdr>
    </w:div>
    <w:div w:id="1371690562">
      <w:bodyDiv w:val="1"/>
      <w:marLeft w:val="0"/>
      <w:marRight w:val="0"/>
      <w:marTop w:val="0"/>
      <w:marBottom w:val="0"/>
      <w:divBdr>
        <w:top w:val="none" w:sz="0" w:space="0" w:color="auto"/>
        <w:left w:val="none" w:sz="0" w:space="0" w:color="auto"/>
        <w:bottom w:val="none" w:sz="0" w:space="0" w:color="auto"/>
        <w:right w:val="none" w:sz="0" w:space="0" w:color="auto"/>
      </w:divBdr>
    </w:div>
    <w:div w:id="1413434282">
      <w:bodyDiv w:val="1"/>
      <w:marLeft w:val="0"/>
      <w:marRight w:val="0"/>
      <w:marTop w:val="0"/>
      <w:marBottom w:val="0"/>
      <w:divBdr>
        <w:top w:val="none" w:sz="0" w:space="0" w:color="auto"/>
        <w:left w:val="none" w:sz="0" w:space="0" w:color="auto"/>
        <w:bottom w:val="none" w:sz="0" w:space="0" w:color="auto"/>
        <w:right w:val="none" w:sz="0" w:space="0" w:color="auto"/>
      </w:divBdr>
    </w:div>
    <w:div w:id="1431899099">
      <w:bodyDiv w:val="1"/>
      <w:marLeft w:val="0"/>
      <w:marRight w:val="0"/>
      <w:marTop w:val="0"/>
      <w:marBottom w:val="0"/>
      <w:divBdr>
        <w:top w:val="none" w:sz="0" w:space="0" w:color="auto"/>
        <w:left w:val="none" w:sz="0" w:space="0" w:color="auto"/>
        <w:bottom w:val="none" w:sz="0" w:space="0" w:color="auto"/>
        <w:right w:val="none" w:sz="0" w:space="0" w:color="auto"/>
      </w:divBdr>
    </w:div>
    <w:div w:id="1612320068">
      <w:bodyDiv w:val="1"/>
      <w:marLeft w:val="0"/>
      <w:marRight w:val="0"/>
      <w:marTop w:val="0"/>
      <w:marBottom w:val="0"/>
      <w:divBdr>
        <w:top w:val="none" w:sz="0" w:space="0" w:color="auto"/>
        <w:left w:val="none" w:sz="0" w:space="0" w:color="auto"/>
        <w:bottom w:val="none" w:sz="0" w:space="0" w:color="auto"/>
        <w:right w:val="none" w:sz="0" w:space="0" w:color="auto"/>
      </w:divBdr>
    </w:div>
    <w:div w:id="1651597033">
      <w:bodyDiv w:val="1"/>
      <w:marLeft w:val="0"/>
      <w:marRight w:val="0"/>
      <w:marTop w:val="0"/>
      <w:marBottom w:val="0"/>
      <w:divBdr>
        <w:top w:val="none" w:sz="0" w:space="0" w:color="auto"/>
        <w:left w:val="none" w:sz="0" w:space="0" w:color="auto"/>
        <w:bottom w:val="none" w:sz="0" w:space="0" w:color="auto"/>
        <w:right w:val="none" w:sz="0" w:space="0" w:color="auto"/>
      </w:divBdr>
    </w:div>
    <w:div w:id="1653757721">
      <w:bodyDiv w:val="1"/>
      <w:marLeft w:val="0"/>
      <w:marRight w:val="0"/>
      <w:marTop w:val="0"/>
      <w:marBottom w:val="0"/>
      <w:divBdr>
        <w:top w:val="none" w:sz="0" w:space="0" w:color="auto"/>
        <w:left w:val="none" w:sz="0" w:space="0" w:color="auto"/>
        <w:bottom w:val="none" w:sz="0" w:space="0" w:color="auto"/>
        <w:right w:val="none" w:sz="0" w:space="0" w:color="auto"/>
      </w:divBdr>
    </w:div>
    <w:div w:id="1680236689">
      <w:bodyDiv w:val="1"/>
      <w:marLeft w:val="0"/>
      <w:marRight w:val="0"/>
      <w:marTop w:val="0"/>
      <w:marBottom w:val="0"/>
      <w:divBdr>
        <w:top w:val="none" w:sz="0" w:space="0" w:color="auto"/>
        <w:left w:val="none" w:sz="0" w:space="0" w:color="auto"/>
        <w:bottom w:val="none" w:sz="0" w:space="0" w:color="auto"/>
        <w:right w:val="none" w:sz="0" w:space="0" w:color="auto"/>
      </w:divBdr>
    </w:div>
    <w:div w:id="1688752007">
      <w:bodyDiv w:val="1"/>
      <w:marLeft w:val="0"/>
      <w:marRight w:val="0"/>
      <w:marTop w:val="0"/>
      <w:marBottom w:val="0"/>
      <w:divBdr>
        <w:top w:val="none" w:sz="0" w:space="0" w:color="auto"/>
        <w:left w:val="none" w:sz="0" w:space="0" w:color="auto"/>
        <w:bottom w:val="none" w:sz="0" w:space="0" w:color="auto"/>
        <w:right w:val="none" w:sz="0" w:space="0" w:color="auto"/>
      </w:divBdr>
    </w:div>
    <w:div w:id="1758818275">
      <w:bodyDiv w:val="1"/>
      <w:marLeft w:val="0"/>
      <w:marRight w:val="0"/>
      <w:marTop w:val="0"/>
      <w:marBottom w:val="0"/>
      <w:divBdr>
        <w:top w:val="none" w:sz="0" w:space="0" w:color="auto"/>
        <w:left w:val="none" w:sz="0" w:space="0" w:color="auto"/>
        <w:bottom w:val="none" w:sz="0" w:space="0" w:color="auto"/>
        <w:right w:val="none" w:sz="0" w:space="0" w:color="auto"/>
      </w:divBdr>
    </w:div>
    <w:div w:id="1844660431">
      <w:bodyDiv w:val="1"/>
      <w:marLeft w:val="0"/>
      <w:marRight w:val="0"/>
      <w:marTop w:val="0"/>
      <w:marBottom w:val="0"/>
      <w:divBdr>
        <w:top w:val="none" w:sz="0" w:space="0" w:color="auto"/>
        <w:left w:val="none" w:sz="0" w:space="0" w:color="auto"/>
        <w:bottom w:val="none" w:sz="0" w:space="0" w:color="auto"/>
        <w:right w:val="none" w:sz="0" w:space="0" w:color="auto"/>
      </w:divBdr>
    </w:div>
    <w:div w:id="1852837778">
      <w:bodyDiv w:val="1"/>
      <w:marLeft w:val="0"/>
      <w:marRight w:val="0"/>
      <w:marTop w:val="0"/>
      <w:marBottom w:val="0"/>
      <w:divBdr>
        <w:top w:val="none" w:sz="0" w:space="0" w:color="auto"/>
        <w:left w:val="none" w:sz="0" w:space="0" w:color="auto"/>
        <w:bottom w:val="none" w:sz="0" w:space="0" w:color="auto"/>
        <w:right w:val="none" w:sz="0" w:space="0" w:color="auto"/>
      </w:divBdr>
    </w:div>
    <w:div w:id="1858616450">
      <w:bodyDiv w:val="1"/>
      <w:marLeft w:val="0"/>
      <w:marRight w:val="0"/>
      <w:marTop w:val="0"/>
      <w:marBottom w:val="0"/>
      <w:divBdr>
        <w:top w:val="none" w:sz="0" w:space="0" w:color="auto"/>
        <w:left w:val="none" w:sz="0" w:space="0" w:color="auto"/>
        <w:bottom w:val="none" w:sz="0" w:space="0" w:color="auto"/>
        <w:right w:val="none" w:sz="0" w:space="0" w:color="auto"/>
      </w:divBdr>
    </w:div>
    <w:div w:id="1905947256">
      <w:bodyDiv w:val="1"/>
      <w:marLeft w:val="0"/>
      <w:marRight w:val="0"/>
      <w:marTop w:val="0"/>
      <w:marBottom w:val="0"/>
      <w:divBdr>
        <w:top w:val="none" w:sz="0" w:space="0" w:color="auto"/>
        <w:left w:val="none" w:sz="0" w:space="0" w:color="auto"/>
        <w:bottom w:val="none" w:sz="0" w:space="0" w:color="auto"/>
        <w:right w:val="none" w:sz="0" w:space="0" w:color="auto"/>
      </w:divBdr>
    </w:div>
    <w:div w:id="1948275139">
      <w:bodyDiv w:val="1"/>
      <w:marLeft w:val="0"/>
      <w:marRight w:val="0"/>
      <w:marTop w:val="0"/>
      <w:marBottom w:val="0"/>
      <w:divBdr>
        <w:top w:val="none" w:sz="0" w:space="0" w:color="auto"/>
        <w:left w:val="none" w:sz="0" w:space="0" w:color="auto"/>
        <w:bottom w:val="none" w:sz="0" w:space="0" w:color="auto"/>
        <w:right w:val="none" w:sz="0" w:space="0" w:color="auto"/>
      </w:divBdr>
    </w:div>
    <w:div w:id="1971933154">
      <w:bodyDiv w:val="1"/>
      <w:marLeft w:val="0"/>
      <w:marRight w:val="0"/>
      <w:marTop w:val="0"/>
      <w:marBottom w:val="0"/>
      <w:divBdr>
        <w:top w:val="none" w:sz="0" w:space="0" w:color="auto"/>
        <w:left w:val="none" w:sz="0" w:space="0" w:color="auto"/>
        <w:bottom w:val="none" w:sz="0" w:space="0" w:color="auto"/>
        <w:right w:val="none" w:sz="0" w:space="0" w:color="auto"/>
      </w:divBdr>
    </w:div>
    <w:div w:id="2058510581">
      <w:bodyDiv w:val="1"/>
      <w:marLeft w:val="0"/>
      <w:marRight w:val="0"/>
      <w:marTop w:val="0"/>
      <w:marBottom w:val="0"/>
      <w:divBdr>
        <w:top w:val="none" w:sz="0" w:space="0" w:color="auto"/>
        <w:left w:val="none" w:sz="0" w:space="0" w:color="auto"/>
        <w:bottom w:val="none" w:sz="0" w:space="0" w:color="auto"/>
        <w:right w:val="none" w:sz="0" w:space="0" w:color="auto"/>
      </w:divBdr>
    </w:div>
    <w:div w:id="2099787213">
      <w:bodyDiv w:val="1"/>
      <w:marLeft w:val="0"/>
      <w:marRight w:val="0"/>
      <w:marTop w:val="0"/>
      <w:marBottom w:val="0"/>
      <w:divBdr>
        <w:top w:val="none" w:sz="0" w:space="0" w:color="auto"/>
        <w:left w:val="none" w:sz="0" w:space="0" w:color="auto"/>
        <w:bottom w:val="none" w:sz="0" w:space="0" w:color="auto"/>
        <w:right w:val="none" w:sz="0" w:space="0" w:color="auto"/>
      </w:divBdr>
    </w:div>
    <w:div w:id="210183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5.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image" Target="media/image6.png"/><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7.xml"/><Relationship Id="rId54" Type="http://schemas.openxmlformats.org/officeDocument/2006/relationships/hyperlink" Target="mailto:public.relations@icwa.w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5.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0.xm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icwa.wa.gov.au"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1" Type="http://schemas.openxmlformats.org/officeDocument/2006/relationships/oleObject" Target="file:///\\prosan01\shared$\INVEST\EXCEL\Endyr18\Annual%20Report\Materials%20to%20CEO\Annual%20Report%20Graph%202018.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prosan01\shared$\INVEST\EXCEL\Endyr18\Annual%20Report\Materials%20to%20CEO\Annual%20Report%20Graph%2020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prosan01\shared$\INVEST\EXCEL\Endyr18\Annual%20Report\Materials%20to%20CEO\Annual%20Report%20Graph%20201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rosan01\shared$\Executive\Communications\Reports\External\Annual%20Report\2018\Section%20Briefs\KPI%202018%20FINAL.xlsm"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1277506368602"/>
          <c:y val="0.17320599585220026"/>
          <c:w val="0.80432656809239556"/>
          <c:h val="0.63380905357328177"/>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Calcs'!$I$13:$L$13</c:f>
              <c:numCache>
                <c:formatCode>General</c:formatCode>
                <c:ptCount val="4"/>
                <c:pt idx="3" formatCode="#,##0.0;\(#,##0.0\)">
                  <c:v>5.5</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Calcs'!$E$12:$H$12</c:f>
              <c:numCache>
                <c:formatCode>0.0</c:formatCode>
                <c:ptCount val="4"/>
                <c:pt idx="0">
                  <c:v>7</c:v>
                </c:pt>
                <c:pt idx="1">
                  <c:v>8.4</c:v>
                </c:pt>
                <c:pt idx="2">
                  <c:v>8.4</c:v>
                </c:pt>
                <c:pt idx="3">
                  <c:v>8.4</c:v>
                </c:pt>
              </c:numCache>
            </c:numRef>
          </c:val>
        </c:ser>
        <c:dLbls>
          <c:showLegendKey val="0"/>
          <c:showVal val="0"/>
          <c:showCatName val="0"/>
          <c:showSerName val="0"/>
          <c:showPercent val="0"/>
          <c:showBubbleSize val="0"/>
        </c:dLbls>
        <c:gapWidth val="100"/>
        <c:overlap val="-10"/>
        <c:axId val="228619640"/>
        <c:axId val="118240240"/>
      </c:barChart>
      <c:catAx>
        <c:axId val="22861964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118240240"/>
        <c:crosses val="autoZero"/>
        <c:auto val="0"/>
        <c:lblAlgn val="ctr"/>
        <c:lblOffset val="100"/>
        <c:tickMarkSkip val="1"/>
        <c:noMultiLvlLbl val="0"/>
      </c:catAx>
      <c:valAx>
        <c:axId val="118240240"/>
        <c:scaling>
          <c:orientation val="minMax"/>
          <c:max val="1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2414773425116458E-2"/>
              <c:y val="0.4379708731098889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28619640"/>
        <c:crosses val="autoZero"/>
        <c:crossBetween val="between"/>
        <c:majorUnit val="2"/>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78625609308645"/>
          <c:y val="0.14866624800734293"/>
          <c:w val="0.80430442651903888"/>
          <c:h val="0.658348872035168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Calcs'!$I$56:$L$56</c:f>
              <c:numCache>
                <c:formatCode>General</c:formatCode>
                <c:ptCount val="4"/>
                <c:pt idx="3" formatCode="0.0">
                  <c:v>86.43791981164739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Calcs'!$E$55:$H$55</c:f>
              <c:numCache>
                <c:formatCode>0.0</c:formatCode>
                <c:ptCount val="4"/>
                <c:pt idx="0">
                  <c:v>92.831432394308948</c:v>
                </c:pt>
                <c:pt idx="1">
                  <c:v>91.154981382991409</c:v>
                </c:pt>
                <c:pt idx="2">
                  <c:v>87.968001667726341</c:v>
                </c:pt>
                <c:pt idx="3">
                  <c:v>86.108394537834414</c:v>
                </c:pt>
              </c:numCache>
            </c:numRef>
          </c:val>
        </c:ser>
        <c:dLbls>
          <c:showLegendKey val="0"/>
          <c:showVal val="0"/>
          <c:showCatName val="0"/>
          <c:showSerName val="0"/>
          <c:showPercent val="0"/>
          <c:showBubbleSize val="0"/>
        </c:dLbls>
        <c:gapWidth val="100"/>
        <c:overlap val="-10"/>
        <c:axId val="231122952"/>
        <c:axId val="231123344"/>
      </c:barChart>
      <c:catAx>
        <c:axId val="23112295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31123344"/>
        <c:crosses val="autoZero"/>
        <c:auto val="0"/>
        <c:lblAlgn val="ctr"/>
        <c:lblOffset val="100"/>
        <c:tickMarkSkip val="1"/>
        <c:noMultiLvlLbl val="0"/>
      </c:catAx>
      <c:valAx>
        <c:axId val="231123344"/>
        <c:scaling>
          <c:orientation val="minMax"/>
          <c:max val="120"/>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US" sz="1000">
                    <a:solidFill>
                      <a:sysClr val="windowText" lastClr="000000"/>
                    </a:solidFill>
                    <a:latin typeface="Futura Std Medium" panose="020B0502020204020303" pitchFamily="34" charset="0"/>
                  </a:rPr>
                  <a:t>%</a:t>
                </a:r>
              </a:p>
            </c:rich>
          </c:tx>
          <c:layout>
            <c:manualLayout>
              <c:xMode val="edge"/>
              <c:yMode val="edge"/>
              <c:x val="4.2483128334352117E-2"/>
              <c:y val="0.44580218611914058"/>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31122952"/>
        <c:crosses val="autoZero"/>
        <c:crossBetween val="between"/>
        <c:majorUnit val="20"/>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27997967479677"/>
          <c:y val="0.180782524111406"/>
          <c:w val="0.80421645555175159"/>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Calcs'!$I$64:$L$64</c:f>
              <c:numCache>
                <c:formatCode>General</c:formatCode>
                <c:ptCount val="4"/>
                <c:pt idx="3" formatCode="#,##0.0">
                  <c:v>10.516355515546016</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Calcs'!$E$63:$H$63</c:f>
              <c:numCache>
                <c:formatCode>#,##0.0</c:formatCode>
                <c:ptCount val="4"/>
                <c:pt idx="0">
                  <c:v>10.084015180679398</c:v>
                </c:pt>
                <c:pt idx="1">
                  <c:v>9.7982111453844034</c:v>
                </c:pt>
                <c:pt idx="2">
                  <c:v>8.564668928822659</c:v>
                </c:pt>
                <c:pt idx="3">
                  <c:v>9.4586203648212628</c:v>
                </c:pt>
              </c:numCache>
            </c:numRef>
          </c:val>
        </c:ser>
        <c:dLbls>
          <c:showLegendKey val="0"/>
          <c:showVal val="0"/>
          <c:showCatName val="0"/>
          <c:showSerName val="0"/>
          <c:showPercent val="0"/>
          <c:showBubbleSize val="0"/>
        </c:dLbls>
        <c:gapWidth val="100"/>
        <c:overlap val="-10"/>
        <c:axId val="231124520"/>
        <c:axId val="231124912"/>
      </c:barChart>
      <c:catAx>
        <c:axId val="23112452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31124912"/>
        <c:crosses val="autoZero"/>
        <c:auto val="0"/>
        <c:lblAlgn val="ctr"/>
        <c:lblOffset val="100"/>
        <c:tickMarkSkip val="1"/>
        <c:noMultiLvlLbl val="0"/>
      </c:catAx>
      <c:valAx>
        <c:axId val="231124912"/>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5471653093106083E-2"/>
              <c:y val="0.4458022333007195"/>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31124520"/>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90224785366687"/>
          <c:y val="0.14953734333504193"/>
          <c:w val="0.80435668525996773"/>
          <c:h val="0.6574778300641422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Calcs'!$I$68:$L$68</c:f>
              <c:numCache>
                <c:formatCode>General</c:formatCode>
                <c:ptCount val="4"/>
                <c:pt idx="3" formatCode="0.0">
                  <c:v>96.9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Calcs'!$E$67:$H$67</c:f>
              <c:numCache>
                <c:formatCode>0.0</c:formatCode>
                <c:ptCount val="4"/>
                <c:pt idx="0">
                  <c:v>102.91544757498832</c:v>
                </c:pt>
                <c:pt idx="1">
                  <c:v>100.95319252837581</c:v>
                </c:pt>
                <c:pt idx="2">
                  <c:v>96.6</c:v>
                </c:pt>
                <c:pt idx="3">
                  <c:v>95.6</c:v>
                </c:pt>
              </c:numCache>
            </c:numRef>
          </c:val>
        </c:ser>
        <c:dLbls>
          <c:showLegendKey val="0"/>
          <c:showVal val="0"/>
          <c:showCatName val="0"/>
          <c:showSerName val="0"/>
          <c:showPercent val="0"/>
          <c:showBubbleSize val="0"/>
        </c:dLbls>
        <c:gapWidth val="100"/>
        <c:overlap val="-10"/>
        <c:axId val="287588296"/>
        <c:axId val="287588688"/>
      </c:barChart>
      <c:catAx>
        <c:axId val="28758829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588688"/>
        <c:crosses val="autoZero"/>
        <c:auto val="0"/>
        <c:lblAlgn val="ctr"/>
        <c:lblOffset val="100"/>
        <c:tickMarkSkip val="1"/>
        <c:noMultiLvlLbl val="0"/>
      </c:catAx>
      <c:valAx>
        <c:axId val="287588688"/>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1749526163431966E-2"/>
              <c:y val="0.43396791377409244"/>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588296"/>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39460784313728"/>
          <c:y val="0.11303732577368296"/>
          <c:w val="0.73115441176470586"/>
          <c:h val="0.5818180166147454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Calcs'!$E$6:$H$6</c:f>
              <c:numCache>
                <c:formatCode>General</c:formatCode>
                <c:ptCount val="4"/>
                <c:pt idx="0">
                  <c:v>2015</c:v>
                </c:pt>
                <c:pt idx="1">
                  <c:v>2016</c:v>
                </c:pt>
                <c:pt idx="2">
                  <c:v>2017</c:v>
                </c:pt>
                <c:pt idx="3">
                  <c:v>2018</c:v>
                </c:pt>
              </c:numCache>
            </c:numRef>
          </c:cat>
          <c:val>
            <c:numRef>
              <c:f>'KPI Calcs'!$I$72:$L$72</c:f>
              <c:numCache>
                <c:formatCode>General</c:formatCode>
                <c:ptCount val="4"/>
                <c:pt idx="3" formatCode="#,##0.0">
                  <c:v>114.5352055966581</c:v>
                </c:pt>
              </c:numCache>
            </c:numRef>
          </c:val>
        </c:ser>
        <c:ser>
          <c:idx val="1"/>
          <c:order val="1"/>
          <c:tx>
            <c:v>ACTUAL (75% PoS)</c:v>
          </c:tx>
          <c:spPr>
            <a:solidFill>
              <a:srgbClr val="0076A8"/>
            </a:solidFill>
            <a:ln>
              <a:solidFill>
                <a:sysClr val="windowText" lastClr="000000"/>
              </a:solidFill>
            </a:ln>
          </c:spPr>
          <c:invertIfNegative val="0"/>
          <c:cat>
            <c:numRef>
              <c:f>'KPI Calcs'!$E$6:$H$6</c:f>
              <c:numCache>
                <c:formatCode>General</c:formatCode>
                <c:ptCount val="4"/>
                <c:pt idx="0">
                  <c:v>2015</c:v>
                </c:pt>
                <c:pt idx="1">
                  <c:v>2016</c:v>
                </c:pt>
                <c:pt idx="2">
                  <c:v>2017</c:v>
                </c:pt>
                <c:pt idx="3">
                  <c:v>2018</c:v>
                </c:pt>
              </c:numCache>
            </c:numRef>
          </c:cat>
          <c:val>
            <c:numRef>
              <c:f>'KPI Calcs'!$E$71:$H$71</c:f>
              <c:numCache>
                <c:formatCode>General</c:formatCode>
                <c:ptCount val="4"/>
                <c:pt idx="2" formatCode="#,##0.0">
                  <c:v>110.98540682573012</c:v>
                </c:pt>
                <c:pt idx="3" formatCode="#,##0.0">
                  <c:v>115.83587454234339</c:v>
                </c:pt>
              </c:numCache>
            </c:numRef>
          </c:val>
        </c:ser>
        <c:ser>
          <c:idx val="2"/>
          <c:order val="2"/>
          <c:tx>
            <c:v>ACTUAL (90% PoS)</c:v>
          </c:tx>
          <c:spPr>
            <a:solidFill>
              <a:srgbClr val="D9E0EC"/>
            </a:solidFill>
            <a:ln>
              <a:solidFill>
                <a:sysClr val="windowText" lastClr="000000"/>
              </a:solidFill>
            </a:ln>
          </c:spPr>
          <c:invertIfNegative val="0"/>
          <c:cat>
            <c:numRef>
              <c:f>'KPI Calcs'!$E$6:$H$6</c:f>
              <c:numCache>
                <c:formatCode>General</c:formatCode>
                <c:ptCount val="4"/>
                <c:pt idx="0">
                  <c:v>2015</c:v>
                </c:pt>
                <c:pt idx="1">
                  <c:v>2016</c:v>
                </c:pt>
                <c:pt idx="2">
                  <c:v>2017</c:v>
                </c:pt>
                <c:pt idx="3">
                  <c:v>2018</c:v>
                </c:pt>
              </c:numCache>
            </c:numRef>
          </c:cat>
          <c:val>
            <c:numRef>
              <c:f>'KPI Calcs'!$E$75:$H$75</c:f>
              <c:numCache>
                <c:formatCode>General</c:formatCode>
                <c:ptCount val="4"/>
                <c:pt idx="3" formatCode="#,##0.0">
                  <c:v>102.4006202781956</c:v>
                </c:pt>
              </c:numCache>
            </c:numRef>
          </c:val>
        </c:ser>
        <c:dLbls>
          <c:showLegendKey val="0"/>
          <c:showVal val="0"/>
          <c:showCatName val="0"/>
          <c:showSerName val="0"/>
          <c:showPercent val="0"/>
          <c:showBubbleSize val="0"/>
        </c:dLbls>
        <c:gapWidth val="100"/>
        <c:overlap val="-10"/>
        <c:axId val="287589864"/>
        <c:axId val="287590256"/>
      </c:barChart>
      <c:catAx>
        <c:axId val="28758986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590256"/>
        <c:crosses val="autoZero"/>
        <c:auto val="0"/>
        <c:lblAlgn val="ctr"/>
        <c:lblOffset val="100"/>
        <c:tickMarkSkip val="1"/>
        <c:noMultiLvlLbl val="0"/>
      </c:catAx>
      <c:valAx>
        <c:axId val="287590256"/>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0.14658660130718956"/>
              <c:y val="0.3817538388849515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58986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9055163285315"/>
          <c:y val="0.13716647995230036"/>
          <c:w val="0.8020270960105893"/>
          <c:h val="0.66984853591868376"/>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Calcs'!$I$79:$L$79</c:f>
              <c:numCache>
                <c:formatCode>General</c:formatCode>
                <c:ptCount val="4"/>
                <c:pt idx="3" formatCode="0.0">
                  <c:v>95.0361555250078</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Calcs'!$E$78:$H$78</c:f>
              <c:numCache>
                <c:formatCode>General</c:formatCode>
                <c:ptCount val="4"/>
                <c:pt idx="2" formatCode="0.0">
                  <c:v>175.68099659967388</c:v>
                </c:pt>
                <c:pt idx="3" formatCode="0.0">
                  <c:v>69.795393962877526</c:v>
                </c:pt>
              </c:numCache>
            </c:numRef>
          </c:val>
        </c:ser>
        <c:dLbls>
          <c:showLegendKey val="0"/>
          <c:showVal val="0"/>
          <c:showCatName val="0"/>
          <c:showSerName val="0"/>
          <c:showPercent val="0"/>
          <c:showBubbleSize val="0"/>
        </c:dLbls>
        <c:gapWidth val="100"/>
        <c:overlap val="-10"/>
        <c:axId val="287698920"/>
        <c:axId val="287699312"/>
      </c:barChart>
      <c:catAx>
        <c:axId val="28769892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699312"/>
        <c:crosses val="autoZero"/>
        <c:auto val="0"/>
        <c:lblAlgn val="ctr"/>
        <c:lblOffset val="100"/>
        <c:tickMarkSkip val="1"/>
        <c:noMultiLvlLbl val="0"/>
      </c:catAx>
      <c:valAx>
        <c:axId val="287699312"/>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US" sz="1000">
                    <a:solidFill>
                      <a:sysClr val="windowText" lastClr="000000"/>
                    </a:solidFill>
                    <a:latin typeface="Futura Std Medium" panose="020B0502020204020303" pitchFamily="34" charset="0"/>
                  </a:rPr>
                  <a:t>%</a:t>
                </a:r>
              </a:p>
            </c:rich>
          </c:tx>
          <c:layout>
            <c:manualLayout>
              <c:xMode val="edge"/>
              <c:yMode val="edge"/>
              <c:x val="3.7932969222220753E-2"/>
              <c:y val="0.42578032994367704"/>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698920"/>
        <c:crosses val="autoZero"/>
        <c:crossBetween val="between"/>
        <c:majorUnit val="2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26773739450168"/>
          <c:y val="0.12514433859437857"/>
          <c:w val="0.79367923422330433"/>
          <c:h val="0.60962305964175478"/>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Calcs'!$I$87:$L$87</c:f>
              <c:numCache>
                <c:formatCode>General</c:formatCode>
                <c:ptCount val="4"/>
                <c:pt idx="3" formatCode="#,##0.0">
                  <c:v>5.4155828223488189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Calcs'!$E$86:$H$86</c:f>
              <c:numCache>
                <c:formatCode>General</c:formatCode>
                <c:ptCount val="4"/>
                <c:pt idx="2" formatCode="#,##0.0">
                  <c:v>20.241539113875614</c:v>
                </c:pt>
                <c:pt idx="3" formatCode="#,##0.0">
                  <c:v>8.7293981984356179</c:v>
                </c:pt>
              </c:numCache>
            </c:numRef>
          </c:val>
        </c:ser>
        <c:dLbls>
          <c:showLegendKey val="0"/>
          <c:showVal val="0"/>
          <c:showCatName val="0"/>
          <c:showSerName val="0"/>
          <c:showPercent val="0"/>
          <c:showBubbleSize val="0"/>
        </c:dLbls>
        <c:gapWidth val="101"/>
        <c:overlap val="-10"/>
        <c:axId val="287700488"/>
        <c:axId val="287700880"/>
      </c:barChart>
      <c:catAx>
        <c:axId val="28770048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700880"/>
        <c:crosses val="autoZero"/>
        <c:auto val="0"/>
        <c:lblAlgn val="ctr"/>
        <c:lblOffset val="100"/>
        <c:tickMarkSkip val="1"/>
        <c:noMultiLvlLbl val="0"/>
      </c:catAx>
      <c:valAx>
        <c:axId val="287700880"/>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0088233717112286E-2"/>
              <c:y val="0.3893682365584981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700488"/>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3392624907487"/>
          <c:y val="0.1732059958522002"/>
          <c:w val="0.81445400646855504"/>
          <c:h val="0.63380905357328143"/>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Calcs'!$I$91:$L$91</c:f>
              <c:numCache>
                <c:formatCode>General</c:formatCode>
                <c:ptCount val="4"/>
                <c:pt idx="3" formatCode="0.0">
                  <c:v>100.4</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Calcs'!$E$90:$H$90</c:f>
              <c:numCache>
                <c:formatCode>General</c:formatCode>
                <c:ptCount val="4"/>
                <c:pt idx="2" formatCode="0.0">
                  <c:v>195.92253571354951</c:v>
                </c:pt>
                <c:pt idx="3" formatCode="0.0">
                  <c:v>78.5</c:v>
                </c:pt>
              </c:numCache>
            </c:numRef>
          </c:val>
        </c:ser>
        <c:dLbls>
          <c:showLegendKey val="0"/>
          <c:showVal val="0"/>
          <c:showCatName val="0"/>
          <c:showSerName val="0"/>
          <c:showPercent val="0"/>
          <c:showBubbleSize val="0"/>
        </c:dLbls>
        <c:gapWidth val="100"/>
        <c:overlap val="-10"/>
        <c:axId val="287702056"/>
        <c:axId val="287702448"/>
      </c:barChart>
      <c:catAx>
        <c:axId val="28770205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702448"/>
        <c:crosses val="autoZero"/>
        <c:auto val="0"/>
        <c:lblAlgn val="ctr"/>
        <c:lblOffset val="100"/>
        <c:tickMarkSkip val="1"/>
        <c:noMultiLvlLbl val="0"/>
      </c:catAx>
      <c:valAx>
        <c:axId val="287702448"/>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4.9330847884387768E-2"/>
              <c:y val="0.42985508460378624"/>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702056"/>
        <c:crosses val="autoZero"/>
        <c:crossBetween val="between"/>
        <c:majorUnit val="2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31796666442353"/>
          <c:y val="0.15312557315877667"/>
          <c:w val="0.81350813199632033"/>
          <c:h val="0.6538892578186777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Calcs'!$I$94:$L$94</c:f>
              <c:numCache>
                <c:formatCode>General</c:formatCode>
                <c:ptCount val="4"/>
                <c:pt idx="3" formatCode="#,##0.0;\(#,##0.0\)">
                  <c:v>25</c:v>
                </c:pt>
              </c:numCache>
            </c:numRef>
          </c:val>
        </c:ser>
        <c:ser>
          <c:idx val="1"/>
          <c:order val="1"/>
          <c:tx>
            <c:v>ACTUAL*</c:v>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Calcs'!$E$93:$H$93</c:f>
              <c:numCache>
                <c:formatCode>#,##0.0;\(#,##0.0\)</c:formatCode>
                <c:ptCount val="4"/>
                <c:pt idx="0">
                  <c:v>14.8</c:v>
                </c:pt>
                <c:pt idx="1">
                  <c:v>14.74</c:v>
                </c:pt>
                <c:pt idx="2">
                  <c:v>19.7</c:v>
                </c:pt>
                <c:pt idx="3">
                  <c:v>19.989999999999998</c:v>
                </c:pt>
              </c:numCache>
            </c:numRef>
          </c:val>
        </c:ser>
        <c:dLbls>
          <c:showLegendKey val="0"/>
          <c:showVal val="0"/>
          <c:showCatName val="0"/>
          <c:showSerName val="0"/>
          <c:showPercent val="0"/>
          <c:showBubbleSize val="0"/>
        </c:dLbls>
        <c:gapWidth val="100"/>
        <c:overlap val="-10"/>
        <c:axId val="287841080"/>
        <c:axId val="287841472"/>
      </c:barChart>
      <c:catAx>
        <c:axId val="28784108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841472"/>
        <c:crosses val="autoZero"/>
        <c:auto val="0"/>
        <c:lblAlgn val="ctr"/>
        <c:lblOffset val="100"/>
        <c:tickMarkSkip val="1"/>
        <c:noMultiLvlLbl val="0"/>
      </c:catAx>
      <c:valAx>
        <c:axId val="287841472"/>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6354801803620763E-2"/>
              <c:y val="0.4377699775479876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841080"/>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5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6096070183008"/>
          <c:y val="0.14988238715058591"/>
          <c:w val="0.81122334879372959"/>
          <c:h val="0.65713275636463864"/>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Calcs'!$I$104:$L$104</c:f>
              <c:numCache>
                <c:formatCode>General</c:formatCode>
                <c:ptCount val="4"/>
                <c:pt idx="3" formatCode="#,##0.0">
                  <c:v>9.9719174428990662</c:v>
                </c:pt>
              </c:numCache>
            </c:numRef>
          </c:val>
        </c:ser>
        <c:ser>
          <c:idx val="1"/>
          <c:order val="1"/>
          <c:tx>
            <c:v>ACTUAL*</c:v>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Calcs'!$E$103:$H$103</c:f>
              <c:numCache>
                <c:formatCode>#,##0.0</c:formatCode>
                <c:ptCount val="4"/>
                <c:pt idx="0">
                  <c:v>10.791934694803011</c:v>
                </c:pt>
                <c:pt idx="1">
                  <c:v>10.464909425388337</c:v>
                </c:pt>
                <c:pt idx="2">
                  <c:v>10.325013137492567</c:v>
                </c:pt>
                <c:pt idx="3">
                  <c:v>10.125383233950137</c:v>
                </c:pt>
              </c:numCache>
            </c:numRef>
          </c:val>
        </c:ser>
        <c:dLbls>
          <c:showLegendKey val="0"/>
          <c:showVal val="0"/>
          <c:showCatName val="0"/>
          <c:showSerName val="0"/>
          <c:showPercent val="0"/>
          <c:showBubbleSize val="0"/>
        </c:dLbls>
        <c:gapWidth val="100"/>
        <c:overlap val="-10"/>
        <c:axId val="287842648"/>
        <c:axId val="287843040"/>
      </c:barChart>
      <c:catAx>
        <c:axId val="28784264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843040"/>
        <c:crosses val="autoZero"/>
        <c:auto val="0"/>
        <c:lblAlgn val="ctr"/>
        <c:lblOffset val="100"/>
        <c:tickMarkSkip val="1"/>
        <c:noMultiLvlLbl val="0"/>
      </c:catAx>
      <c:valAx>
        <c:axId val="287843040"/>
        <c:scaling>
          <c:orientation val="minMax"/>
          <c:max val="14"/>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7754826879516852E-2"/>
              <c:y val="0.43025305510280631"/>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84264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23876303487957"/>
          <c:y val="0.16545268620268619"/>
          <c:w val="0.80041707950117069"/>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Calcs'!$I$107:$L$107</c:f>
              <c:numCache>
                <c:formatCode>General</c:formatCode>
                <c:ptCount val="4"/>
                <c:pt idx="3" formatCode="#,##0.0">
                  <c:v>94.5</c:v>
                </c:pt>
              </c:numCache>
            </c:numRef>
          </c:val>
        </c:ser>
        <c:ser>
          <c:idx val="1"/>
          <c:order val="1"/>
          <c:tx>
            <c:v>ACTUAL*</c:v>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Calcs'!$E$106:$H$106</c:f>
              <c:numCache>
                <c:formatCode>#,##0.0</c:formatCode>
                <c:ptCount val="4"/>
                <c:pt idx="0">
                  <c:v>90.3</c:v>
                </c:pt>
                <c:pt idx="1">
                  <c:v>89.4</c:v>
                </c:pt>
                <c:pt idx="2">
                  <c:v>91</c:v>
                </c:pt>
                <c:pt idx="3">
                  <c:v>94.2</c:v>
                </c:pt>
              </c:numCache>
            </c:numRef>
          </c:val>
        </c:ser>
        <c:dLbls>
          <c:showLegendKey val="0"/>
          <c:showVal val="0"/>
          <c:showCatName val="0"/>
          <c:showSerName val="0"/>
          <c:showPercent val="0"/>
          <c:showBubbleSize val="0"/>
        </c:dLbls>
        <c:gapWidth val="100"/>
        <c:overlap val="-10"/>
        <c:axId val="287591432"/>
        <c:axId val="287843824"/>
      </c:barChart>
      <c:catAx>
        <c:axId val="28759143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843824"/>
        <c:crosses val="autoZero"/>
        <c:auto val="0"/>
        <c:lblAlgn val="ctr"/>
        <c:lblOffset val="100"/>
        <c:tickMarkSkip val="1"/>
        <c:noMultiLvlLbl val="0"/>
      </c:catAx>
      <c:valAx>
        <c:axId val="287843824"/>
        <c:scaling>
          <c:orientation val="minMax"/>
          <c:min val="82"/>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5381266937669375E-2"/>
              <c:y val="0.4562224693058923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591432"/>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78622499773741"/>
          <c:y val="0.17320599585220026"/>
          <c:w val="0.80430446194225613"/>
          <c:h val="0.63380905357328177"/>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Calcs'!$I$16:$L$16</c:f>
              <c:numCache>
                <c:formatCode>General</c:formatCode>
                <c:ptCount val="4"/>
                <c:pt idx="3" formatCode="#,##0.0;\(#,##0.0\)">
                  <c:v>6.2</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Calcs'!$E$14:$H$14</c:f>
              <c:numCache>
                <c:formatCode>#,##0.0</c:formatCode>
                <c:ptCount val="4"/>
                <c:pt idx="0">
                  <c:v>9.73</c:v>
                </c:pt>
                <c:pt idx="1">
                  <c:v>1.6</c:v>
                </c:pt>
                <c:pt idx="2">
                  <c:v>10.4</c:v>
                </c:pt>
                <c:pt idx="3" formatCode="0.0">
                  <c:v>9.1</c:v>
                </c:pt>
              </c:numCache>
            </c:numRef>
          </c:val>
        </c:ser>
        <c:dLbls>
          <c:showLegendKey val="0"/>
          <c:showVal val="0"/>
          <c:showCatName val="0"/>
          <c:showSerName val="0"/>
          <c:showPercent val="0"/>
          <c:showBubbleSize val="0"/>
        </c:dLbls>
        <c:gapWidth val="100"/>
        <c:overlap val="-10"/>
        <c:axId val="230668248"/>
        <c:axId val="230668640"/>
      </c:barChart>
      <c:catAx>
        <c:axId val="23066824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30668640"/>
        <c:crosses val="autoZero"/>
        <c:auto val="0"/>
        <c:lblAlgn val="ctr"/>
        <c:lblOffset val="100"/>
        <c:tickMarkSkip val="1"/>
        <c:noMultiLvlLbl val="0"/>
      </c:catAx>
      <c:valAx>
        <c:axId val="230668640"/>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5578061363019274E-2"/>
              <c:y val="0.44962763805643424"/>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3066824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31796666442353"/>
          <c:y val="0.17320599585220031"/>
          <c:w val="0.82490414339233242"/>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Calcs'!$I$110:$L$110</c:f>
              <c:numCache>
                <c:formatCode>General</c:formatCode>
                <c:ptCount val="4"/>
                <c:pt idx="3" formatCode="#,##0.0">
                  <c:v>75</c:v>
                </c:pt>
              </c:numCache>
            </c:numRef>
          </c:val>
        </c:ser>
        <c:ser>
          <c:idx val="1"/>
          <c:order val="1"/>
          <c:tx>
            <c:v>ACTUAL*</c:v>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Calcs'!$E$109:$H$109</c:f>
              <c:numCache>
                <c:formatCode>#,##0.0</c:formatCode>
                <c:ptCount val="4"/>
                <c:pt idx="0">
                  <c:v>74.7</c:v>
                </c:pt>
                <c:pt idx="1">
                  <c:v>74.099999999999994</c:v>
                </c:pt>
                <c:pt idx="2">
                  <c:v>72.400000000000006</c:v>
                </c:pt>
                <c:pt idx="3">
                  <c:v>72.599999999999994</c:v>
                </c:pt>
              </c:numCache>
            </c:numRef>
          </c:val>
        </c:ser>
        <c:dLbls>
          <c:showLegendKey val="0"/>
          <c:showVal val="0"/>
          <c:showCatName val="0"/>
          <c:showSerName val="0"/>
          <c:showPercent val="0"/>
          <c:showBubbleSize val="0"/>
        </c:dLbls>
        <c:gapWidth val="100"/>
        <c:overlap val="-10"/>
        <c:axId val="288169912"/>
        <c:axId val="288170304"/>
      </c:barChart>
      <c:catAx>
        <c:axId val="28816991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8170304"/>
        <c:crosses val="autoZero"/>
        <c:auto val="0"/>
        <c:lblAlgn val="ctr"/>
        <c:lblOffset val="100"/>
        <c:tickMarkSkip val="1"/>
        <c:noMultiLvlLbl val="0"/>
      </c:catAx>
      <c:valAx>
        <c:axId val="288170304"/>
        <c:scaling>
          <c:orientation val="minMax"/>
          <c:max val="80"/>
          <c:min val="5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4075599524418434E-2"/>
              <c:y val="0.39641955750609431"/>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8169912"/>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59716894362567"/>
          <c:y val="0.17732127193586469"/>
          <c:w val="0.79755371604190506"/>
          <c:h val="0.63380905357328277"/>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Calcs'!$I$113:$L$113</c:f>
              <c:numCache>
                <c:formatCode>General</c:formatCode>
                <c:ptCount val="4"/>
                <c:pt idx="3" formatCode="#,##0.0">
                  <c:v>95</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Calcs'!$E$112:$H$112</c:f>
              <c:numCache>
                <c:formatCode>General</c:formatCode>
                <c:ptCount val="4"/>
                <c:pt idx="2" formatCode="#,##0.0">
                  <c:v>85</c:v>
                </c:pt>
                <c:pt idx="3" formatCode="#,##0.0">
                  <c:v>97.3</c:v>
                </c:pt>
              </c:numCache>
            </c:numRef>
          </c:val>
        </c:ser>
        <c:dLbls>
          <c:showLegendKey val="0"/>
          <c:showVal val="0"/>
          <c:showCatName val="0"/>
          <c:showSerName val="0"/>
          <c:showPercent val="0"/>
          <c:showBubbleSize val="0"/>
        </c:dLbls>
        <c:gapWidth val="100"/>
        <c:overlap val="-10"/>
        <c:axId val="288171480"/>
        <c:axId val="288171872"/>
      </c:barChart>
      <c:catAx>
        <c:axId val="28817148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8171872"/>
        <c:crosses val="autoZero"/>
        <c:auto val="0"/>
        <c:lblAlgn val="ctr"/>
        <c:lblOffset val="100"/>
        <c:tickMarkSkip val="1"/>
        <c:noMultiLvlLbl val="0"/>
      </c:catAx>
      <c:valAx>
        <c:axId val="288171872"/>
        <c:scaling>
          <c:orientation val="minMax"/>
          <c:min val="7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4075599524418434E-2"/>
              <c:y val="0.39641955750609431"/>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8171480"/>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31796666442359"/>
          <c:y val="0.20201263796138749"/>
          <c:w val="0.80954148682377924"/>
          <c:h val="0.6050023022592599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Calcs'!$I$116:$L$116</c:f>
              <c:numCache>
                <c:formatCode>General</c:formatCode>
                <c:ptCount val="4"/>
                <c:pt idx="3" formatCode="#,##0.0">
                  <c:v>80</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Calcs'!$E$115:$H$115</c:f>
              <c:numCache>
                <c:formatCode>General</c:formatCode>
                <c:ptCount val="4"/>
                <c:pt idx="2" formatCode="#,##0.0">
                  <c:v>83</c:v>
                </c:pt>
                <c:pt idx="3" formatCode="#,##0.0">
                  <c:v>96.43</c:v>
                </c:pt>
              </c:numCache>
            </c:numRef>
          </c:val>
        </c:ser>
        <c:dLbls>
          <c:showLegendKey val="0"/>
          <c:showVal val="0"/>
          <c:showCatName val="0"/>
          <c:showSerName val="0"/>
          <c:showPercent val="0"/>
          <c:showBubbleSize val="0"/>
        </c:dLbls>
        <c:gapWidth val="100"/>
        <c:overlap val="-10"/>
        <c:axId val="287310336"/>
        <c:axId val="287310728"/>
      </c:barChart>
      <c:catAx>
        <c:axId val="28731033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310728"/>
        <c:crosses val="autoZero"/>
        <c:auto val="0"/>
        <c:lblAlgn val="ctr"/>
        <c:lblOffset val="100"/>
        <c:tickMarkSkip val="1"/>
        <c:noMultiLvlLbl val="0"/>
      </c:catAx>
      <c:valAx>
        <c:axId val="287310728"/>
        <c:scaling>
          <c:orientation val="minMax"/>
          <c:min val="6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4075599524418434E-2"/>
              <c:y val="0.39641955750609431"/>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310336"/>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97918489355496"/>
          <c:y val="0.17320599585220031"/>
          <c:w val="0.8079031787693205"/>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Calcs'!$I$123:$L$123</c:f>
              <c:numCache>
                <c:formatCode>General</c:formatCode>
                <c:ptCount val="4"/>
                <c:pt idx="3" formatCode="_(* #,##0_);_(* \(#,##0\);_(* &quot;-&quot;_);_(@_)">
                  <c:v>3495.4759117514636</c:v>
                </c:pt>
              </c:numCache>
            </c:numRef>
          </c:val>
        </c:ser>
        <c:ser>
          <c:idx val="1"/>
          <c:order val="1"/>
          <c:tx>
            <c:v>ACTUAL*</c:v>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Calcs'!$E$122:$H$122</c:f>
              <c:numCache>
                <c:formatCode>_(* #,##0_);_(* \(#,##0\);_(* "-"_);_(@_)</c:formatCode>
                <c:ptCount val="4"/>
                <c:pt idx="0">
                  <c:v>3284.8640314027243</c:v>
                </c:pt>
                <c:pt idx="1">
                  <c:v>3547.9523036414566</c:v>
                </c:pt>
                <c:pt idx="2">
                  <c:v>3778.4335136904115</c:v>
                </c:pt>
                <c:pt idx="3">
                  <c:v>3187.2215432232842</c:v>
                </c:pt>
              </c:numCache>
            </c:numRef>
          </c:val>
        </c:ser>
        <c:dLbls>
          <c:showLegendKey val="0"/>
          <c:showVal val="0"/>
          <c:showCatName val="0"/>
          <c:showSerName val="0"/>
          <c:showPercent val="0"/>
          <c:showBubbleSize val="0"/>
        </c:dLbls>
        <c:gapWidth val="100"/>
        <c:overlap val="-10"/>
        <c:axId val="287311904"/>
        <c:axId val="287312296"/>
      </c:barChart>
      <c:catAx>
        <c:axId val="28731190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312296"/>
        <c:crosses val="autoZero"/>
        <c:auto val="0"/>
        <c:lblAlgn val="ctr"/>
        <c:lblOffset val="100"/>
        <c:tickMarkSkip val="1"/>
        <c:noMultiLvlLbl val="0"/>
      </c:catAx>
      <c:valAx>
        <c:axId val="287312296"/>
        <c:scaling>
          <c:orientation val="minMax"/>
          <c:min val="100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2.6119860017497814E-2"/>
              <c:y val="0.42619453450671579"/>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31190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08295088970504"/>
          <c:y val="0.1929883096957094"/>
          <c:w val="0.80889284337514622"/>
          <c:h val="0.61402680747992566"/>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Calcs'!$I$130:$L$130</c:f>
              <c:numCache>
                <c:formatCode>General</c:formatCode>
                <c:ptCount val="4"/>
                <c:pt idx="3" formatCode="#,##0.0_);\(#,##0.0\)">
                  <c:v>6.9162155902004461</c:v>
                </c:pt>
              </c:numCache>
            </c:numRef>
          </c:val>
        </c:ser>
        <c:ser>
          <c:idx val="1"/>
          <c:order val="1"/>
          <c:tx>
            <c:v>ACTUAL*</c:v>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Calcs'!$E$129:$H$129</c:f>
              <c:numCache>
                <c:formatCode>#,##0.0_);\(#,##0.0\)</c:formatCode>
                <c:ptCount val="4"/>
                <c:pt idx="0">
                  <c:v>6.9725615338137841</c:v>
                </c:pt>
                <c:pt idx="1">
                  <c:v>7.9753005771105041</c:v>
                </c:pt>
                <c:pt idx="2">
                  <c:v>7.4906914995304206</c:v>
                </c:pt>
                <c:pt idx="3">
                  <c:v>7.4977304527595265</c:v>
                </c:pt>
              </c:numCache>
            </c:numRef>
          </c:val>
        </c:ser>
        <c:dLbls>
          <c:showLegendKey val="0"/>
          <c:showVal val="0"/>
          <c:showCatName val="0"/>
          <c:showSerName val="0"/>
          <c:showPercent val="0"/>
          <c:showBubbleSize val="0"/>
        </c:dLbls>
        <c:gapWidth val="100"/>
        <c:overlap val="-10"/>
        <c:axId val="287313472"/>
        <c:axId val="287313864"/>
      </c:barChart>
      <c:catAx>
        <c:axId val="28731347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313864"/>
        <c:crosses val="autoZero"/>
        <c:auto val="0"/>
        <c:lblAlgn val="ctr"/>
        <c:lblOffset val="100"/>
        <c:tickMarkSkip val="1"/>
        <c:noMultiLvlLbl val="0"/>
      </c:catAx>
      <c:valAx>
        <c:axId val="287313864"/>
        <c:scaling>
          <c:orientation val="minMax"/>
          <c:max val="9"/>
          <c:min val="1"/>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4682854352531955E-2"/>
              <c:y val="0.43393288005171482"/>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313472"/>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9055163285321"/>
          <c:y val="0.15306295621103641"/>
          <c:w val="0.81120667145522452"/>
          <c:h val="0.65395194421120562"/>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Calcs'!$I$139:$L$139</c:f>
              <c:numCache>
                <c:formatCode>General</c:formatCode>
                <c:ptCount val="4"/>
                <c:pt idx="3" formatCode="0.0">
                  <c:v>85.790239918159003</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Calcs'!$E$138:$H$138</c:f>
              <c:numCache>
                <c:formatCode>0.0</c:formatCode>
                <c:ptCount val="4"/>
                <c:pt idx="0">
                  <c:v>80.119887859174028</c:v>
                </c:pt>
                <c:pt idx="1">
                  <c:v>71.068492350657024</c:v>
                </c:pt>
                <c:pt idx="2">
                  <c:v>68.073571105097983</c:v>
                </c:pt>
                <c:pt idx="3">
                  <c:v>65.021217545064388</c:v>
                </c:pt>
              </c:numCache>
            </c:numRef>
          </c:val>
        </c:ser>
        <c:dLbls>
          <c:showLegendKey val="0"/>
          <c:showVal val="0"/>
          <c:showCatName val="0"/>
          <c:showSerName val="0"/>
          <c:showPercent val="0"/>
          <c:showBubbleSize val="0"/>
        </c:dLbls>
        <c:gapWidth val="100"/>
        <c:overlap val="-10"/>
        <c:axId val="287384872"/>
        <c:axId val="287385264"/>
      </c:barChart>
      <c:catAx>
        <c:axId val="28738487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385264"/>
        <c:crosses val="autoZero"/>
        <c:auto val="0"/>
        <c:lblAlgn val="ctr"/>
        <c:lblOffset val="100"/>
        <c:tickMarkSkip val="1"/>
        <c:noMultiLvlLbl val="0"/>
      </c:catAx>
      <c:valAx>
        <c:axId val="287385264"/>
        <c:scaling>
          <c:orientation val="minMax"/>
          <c:max val="120"/>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3997226250333305E-2"/>
              <c:y val="0.4337163885611907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384872"/>
        <c:crosses val="autoZero"/>
        <c:crossBetween val="between"/>
        <c:majorUnit val="20"/>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60171704240534"/>
          <c:y val="0.15713063783047601"/>
          <c:w val="0.8043155698280785"/>
          <c:h val="0.64988451325795393"/>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Calcs'!$I$143:$L$143</c:f>
              <c:numCache>
                <c:formatCode>General</c:formatCode>
                <c:ptCount val="4"/>
                <c:pt idx="3" formatCode="0.0">
                  <c:v>11.958716335348869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Calcs'!$E$142:$H$142</c:f>
              <c:numCache>
                <c:formatCode>0.0</c:formatCode>
                <c:ptCount val="4"/>
                <c:pt idx="0">
                  <c:v>11.672255723268414</c:v>
                </c:pt>
                <c:pt idx="1">
                  <c:v>12.284500358533347</c:v>
                </c:pt>
                <c:pt idx="2">
                  <c:v>11.904826945976346</c:v>
                </c:pt>
                <c:pt idx="3">
                  <c:v>11.880941106832884</c:v>
                </c:pt>
              </c:numCache>
            </c:numRef>
          </c:val>
        </c:ser>
        <c:dLbls>
          <c:showLegendKey val="0"/>
          <c:showVal val="0"/>
          <c:showCatName val="0"/>
          <c:showSerName val="0"/>
          <c:showPercent val="0"/>
          <c:showBubbleSize val="0"/>
        </c:dLbls>
        <c:gapWidth val="100"/>
        <c:overlap val="-10"/>
        <c:axId val="287386440"/>
        <c:axId val="287386832"/>
      </c:barChart>
      <c:catAx>
        <c:axId val="28738644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386832"/>
        <c:crosses val="autoZero"/>
        <c:auto val="0"/>
        <c:lblAlgn val="ctr"/>
        <c:lblOffset val="100"/>
        <c:tickMarkSkip val="1"/>
        <c:noMultiLvlLbl val="0"/>
      </c:catAx>
      <c:valAx>
        <c:axId val="287386832"/>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6286118283536211E-2"/>
              <c:y val="0.44178338490865648"/>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386440"/>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19589432764204"/>
          <c:y val="0.13628302403651088"/>
          <c:w val="0.80433945756780478"/>
          <c:h val="0.67073229823777125"/>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Calcs'!$I$147:$L$147</c:f>
              <c:numCache>
                <c:formatCode>General</c:formatCode>
                <c:ptCount val="4"/>
                <c:pt idx="3" formatCode="#,##0.0">
                  <c:v>97.8</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Calcs'!$E$146:$H$146</c:f>
              <c:numCache>
                <c:formatCode>0.0</c:formatCode>
                <c:ptCount val="4"/>
                <c:pt idx="0">
                  <c:v>91.7</c:v>
                </c:pt>
                <c:pt idx="1">
                  <c:v>83.35299270919036</c:v>
                </c:pt>
                <c:pt idx="2">
                  <c:v>79.978398051074322</c:v>
                </c:pt>
                <c:pt idx="3">
                  <c:v>76.902158651897281</c:v>
                </c:pt>
              </c:numCache>
            </c:numRef>
          </c:val>
        </c:ser>
        <c:dLbls>
          <c:showLegendKey val="0"/>
          <c:showVal val="0"/>
          <c:showCatName val="0"/>
          <c:showSerName val="0"/>
          <c:showPercent val="0"/>
          <c:showBubbleSize val="0"/>
        </c:dLbls>
        <c:gapWidth val="100"/>
        <c:overlap val="-10"/>
        <c:axId val="288845488"/>
        <c:axId val="288845880"/>
      </c:barChart>
      <c:catAx>
        <c:axId val="28884548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8845880"/>
        <c:crosses val="autoZero"/>
        <c:auto val="0"/>
        <c:lblAlgn val="ctr"/>
        <c:lblOffset val="100"/>
        <c:tickMarkSkip val="1"/>
        <c:noMultiLvlLbl val="0"/>
      </c:catAx>
      <c:valAx>
        <c:axId val="288845880"/>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4016830370430577E-2"/>
              <c:y val="0.4416996379405250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884548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3392624907487"/>
          <c:y val="0.17320599585220031"/>
          <c:w val="0.81445400646855526"/>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Calcs'!$I$150:$L$150</c:f>
              <c:numCache>
                <c:formatCode>General</c:formatCode>
                <c:ptCount val="4"/>
                <c:pt idx="3" formatCode="#,##0.00">
                  <c:v>1.2999999999999998</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Calcs'!$E$149:$H$149</c:f>
              <c:numCache>
                <c:formatCode>#,##0.00</c:formatCode>
                <c:ptCount val="4"/>
                <c:pt idx="0">
                  <c:v>1.31</c:v>
                </c:pt>
                <c:pt idx="1">
                  <c:v>1.3</c:v>
                </c:pt>
                <c:pt idx="2">
                  <c:v>1.22</c:v>
                </c:pt>
                <c:pt idx="3">
                  <c:v>1.3588</c:v>
                </c:pt>
              </c:numCache>
            </c:numRef>
          </c:val>
        </c:ser>
        <c:dLbls>
          <c:showLegendKey val="0"/>
          <c:showVal val="0"/>
          <c:showCatName val="0"/>
          <c:showSerName val="0"/>
          <c:showPercent val="0"/>
          <c:showBubbleSize val="0"/>
        </c:dLbls>
        <c:gapWidth val="100"/>
        <c:overlap val="-10"/>
        <c:axId val="288847056"/>
        <c:axId val="288847448"/>
      </c:barChart>
      <c:catAx>
        <c:axId val="28884705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8847448"/>
        <c:crosses val="autoZero"/>
        <c:auto val="0"/>
        <c:lblAlgn val="ctr"/>
        <c:lblOffset val="100"/>
        <c:tickMarkSkip val="1"/>
        <c:noMultiLvlLbl val="0"/>
      </c:catAx>
      <c:valAx>
        <c:axId val="288847448"/>
        <c:scaling>
          <c:orientation val="minMax"/>
          <c:max val="1.8"/>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4.3433349901029816E-2"/>
              <c:y val="0.43393288005171482"/>
            </c:manualLayout>
          </c:layout>
          <c:overlay val="0"/>
          <c:spPr>
            <a:noFill/>
            <a:ln w="25400">
              <a:noFill/>
            </a:ln>
          </c:spPr>
        </c:title>
        <c:numFmt formatCode="0.0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8847056"/>
        <c:crosses val="autoZero"/>
        <c:crossBetween val="between"/>
        <c:majorUnit val="0.30000000000000032"/>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30737331899484"/>
          <c:y val="0.17320599585220031"/>
          <c:w val="0.80427361895177263"/>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Calcs'!$I$154:$L$154</c:f>
              <c:numCache>
                <c:formatCode>General</c:formatCode>
                <c:ptCount val="4"/>
                <c:pt idx="3" formatCode="0.0">
                  <c:v>10.123304149926849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Calcs'!$E$153:$H$153</c:f>
              <c:numCache>
                <c:formatCode>0.0</c:formatCode>
                <c:ptCount val="4"/>
                <c:pt idx="0">
                  <c:v>8.6635696188062834</c:v>
                </c:pt>
                <c:pt idx="1">
                  <c:v>8.5316571222035513</c:v>
                </c:pt>
                <c:pt idx="2">
                  <c:v>8.761510098703523</c:v>
                </c:pt>
                <c:pt idx="3">
                  <c:v>9.7038882364910624</c:v>
                </c:pt>
              </c:numCache>
            </c:numRef>
          </c:val>
        </c:ser>
        <c:dLbls>
          <c:showLegendKey val="0"/>
          <c:showVal val="0"/>
          <c:showCatName val="0"/>
          <c:showSerName val="0"/>
          <c:showPercent val="0"/>
          <c:showBubbleSize val="0"/>
        </c:dLbls>
        <c:gapWidth val="100"/>
        <c:overlap val="-10"/>
        <c:axId val="288848624"/>
        <c:axId val="288849016"/>
      </c:barChart>
      <c:catAx>
        <c:axId val="28884862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8849016"/>
        <c:crosses val="autoZero"/>
        <c:auto val="0"/>
        <c:lblAlgn val="ctr"/>
        <c:lblOffset val="100"/>
        <c:tickMarkSkip val="1"/>
        <c:noMultiLvlLbl val="0"/>
      </c:catAx>
      <c:valAx>
        <c:axId val="288849016"/>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Arial"/>
                    <a:ea typeface="Arial"/>
                    <a:cs typeface="Arial"/>
                  </a:defRPr>
                </a:pPr>
                <a:r>
                  <a:rPr lang="en-AU" sz="1000">
                    <a:solidFill>
                      <a:sysClr val="windowText" lastClr="000000"/>
                    </a:solidFill>
                  </a:rPr>
                  <a:t>%</a:t>
                </a:r>
              </a:p>
            </c:rich>
          </c:tx>
          <c:layout>
            <c:manualLayout>
              <c:xMode val="edge"/>
              <c:yMode val="edge"/>
              <c:x val="6.9773712737127375E-2"/>
              <c:y val="0.4496146976269456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884862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9055163285321"/>
          <c:y val="0.17320599585220026"/>
          <c:w val="0.80432198987174719"/>
          <c:h val="0.63380905357328177"/>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Calcs'!$I$20:$L$20</c:f>
              <c:numCache>
                <c:formatCode>General</c:formatCode>
                <c:ptCount val="4"/>
                <c:pt idx="3" formatCode="#,##0.0;\(#,##0.0\)">
                  <c:v>130.9440991779087</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Calcs'!$E$19:$H$19</c:f>
              <c:numCache>
                <c:formatCode>#,##0.0;\(#,##0.0\)</c:formatCode>
                <c:ptCount val="4"/>
                <c:pt idx="0">
                  <c:v>135.95690383650188</c:v>
                </c:pt>
                <c:pt idx="1">
                  <c:v>131.21586489215608</c:v>
                </c:pt>
                <c:pt idx="2">
                  <c:v>129.87791128273329</c:v>
                </c:pt>
                <c:pt idx="3">
                  <c:v>130.71065010644529</c:v>
                </c:pt>
              </c:numCache>
            </c:numRef>
          </c:val>
        </c:ser>
        <c:dLbls>
          <c:showLegendKey val="0"/>
          <c:showVal val="0"/>
          <c:showCatName val="0"/>
          <c:showSerName val="0"/>
          <c:showPercent val="0"/>
          <c:showBubbleSize val="0"/>
        </c:dLbls>
        <c:gapWidth val="100"/>
        <c:overlap val="-10"/>
        <c:axId val="230669816"/>
        <c:axId val="230670208"/>
      </c:barChart>
      <c:catAx>
        <c:axId val="23066981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30670208"/>
        <c:crosses val="autoZero"/>
        <c:auto val="0"/>
        <c:lblAlgn val="ctr"/>
        <c:lblOffset val="100"/>
        <c:tickMarkSkip val="1"/>
        <c:noMultiLvlLbl val="0"/>
      </c:catAx>
      <c:valAx>
        <c:axId val="230670208"/>
        <c:scaling>
          <c:orientation val="minMax"/>
          <c:min val="10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4.4888450183348534E-2"/>
              <c:y val="0.4576365465312037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30669816"/>
        <c:crosses val="autoZero"/>
        <c:crossBetween val="between"/>
        <c:majorUnit val="5"/>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90540763355386"/>
          <c:y val="0.17320599585220031"/>
          <c:w val="0.81117983158615148"/>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Calcs'!$I$160:$L$160</c:f>
              <c:numCache>
                <c:formatCode>General</c:formatCode>
                <c:ptCount val="4"/>
                <c:pt idx="3" formatCode="0.0">
                  <c:v>90</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Calcs'!$E$156:$H$156</c:f>
              <c:numCache>
                <c:formatCode>#,##0.0</c:formatCode>
                <c:ptCount val="4"/>
                <c:pt idx="0">
                  <c:v>90.3</c:v>
                </c:pt>
                <c:pt idx="1">
                  <c:v>90.6</c:v>
                </c:pt>
                <c:pt idx="2">
                  <c:v>90.9</c:v>
                </c:pt>
                <c:pt idx="3" formatCode="#,##0.0_);\(#,##0.0\)">
                  <c:v>91.34</c:v>
                </c:pt>
              </c:numCache>
            </c:numRef>
          </c:val>
        </c:ser>
        <c:dLbls>
          <c:showLegendKey val="0"/>
          <c:showVal val="0"/>
          <c:showCatName val="0"/>
          <c:showSerName val="0"/>
          <c:showPercent val="0"/>
          <c:showBubbleSize val="0"/>
        </c:dLbls>
        <c:gapWidth val="100"/>
        <c:overlap val="-10"/>
        <c:axId val="289016432"/>
        <c:axId val="289016824"/>
      </c:barChart>
      <c:catAx>
        <c:axId val="28901643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9016824"/>
        <c:crosses val="autoZero"/>
        <c:auto val="0"/>
        <c:lblAlgn val="ctr"/>
        <c:lblOffset val="100"/>
        <c:tickMarkSkip val="1"/>
        <c:noMultiLvlLbl val="0"/>
      </c:catAx>
      <c:valAx>
        <c:axId val="289016824"/>
        <c:scaling>
          <c:orientation val="minMax"/>
          <c:max val="94"/>
          <c:min val="8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5.6216352711851388E-2"/>
              <c:y val="0.45359948427499192"/>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9016432"/>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5076076509624"/>
          <c:y val="0.15756559755543786"/>
          <c:w val="0.80188094720524428"/>
          <c:h val="0.64944943465644656"/>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Calcs'!$I$160:$L$160</c:f>
              <c:numCache>
                <c:formatCode>General</c:formatCode>
                <c:ptCount val="4"/>
                <c:pt idx="3" formatCode="0.0">
                  <c:v>90</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Calcs'!$E$159:$H$159</c:f>
              <c:numCache>
                <c:formatCode>0.0</c:formatCode>
                <c:ptCount val="4"/>
                <c:pt idx="0">
                  <c:v>93.5</c:v>
                </c:pt>
                <c:pt idx="1">
                  <c:v>94.8</c:v>
                </c:pt>
                <c:pt idx="2">
                  <c:v>96.1</c:v>
                </c:pt>
                <c:pt idx="3">
                  <c:v>95.79</c:v>
                </c:pt>
              </c:numCache>
            </c:numRef>
          </c:val>
        </c:ser>
        <c:dLbls>
          <c:showLegendKey val="0"/>
          <c:showVal val="0"/>
          <c:showCatName val="0"/>
          <c:showSerName val="0"/>
          <c:showPercent val="0"/>
          <c:showBubbleSize val="0"/>
        </c:dLbls>
        <c:gapWidth val="100"/>
        <c:overlap val="-10"/>
        <c:axId val="289018000"/>
        <c:axId val="289018392"/>
      </c:barChart>
      <c:catAx>
        <c:axId val="28901800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9018392"/>
        <c:crosses val="autoZero"/>
        <c:auto val="0"/>
        <c:lblAlgn val="ctr"/>
        <c:lblOffset val="100"/>
        <c:tickMarkSkip val="1"/>
        <c:noMultiLvlLbl val="0"/>
      </c:catAx>
      <c:valAx>
        <c:axId val="289018392"/>
        <c:scaling>
          <c:orientation val="minMax"/>
          <c:max val="100"/>
          <c:min val="8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5471653093106083E-2"/>
              <c:y val="0.4458022333007195"/>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9018000"/>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18199855699878"/>
          <c:y val="0.17320599585220031"/>
          <c:w val="0.80434018759018822"/>
          <c:h val="0.633809053573282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Calcs'!$I$164:$L$164</c:f>
              <c:numCache>
                <c:formatCode>General</c:formatCode>
                <c:ptCount val="4"/>
                <c:pt idx="3" formatCode="_(* #,##0_);_(* \(#,##0\);_(* &quot;-&quot;_);_(@_)">
                  <c:v>1668.279321138609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Calcs'!$E$163:$H$163</c:f>
              <c:numCache>
                <c:formatCode>_(* #,##0_);_(* \(#,##0\);_(* "-"_);_(@_)</c:formatCode>
                <c:ptCount val="4"/>
                <c:pt idx="0">
                  <c:v>1249.8247029642582</c:v>
                </c:pt>
                <c:pt idx="1">
                  <c:v>1371.4445388623535</c:v>
                </c:pt>
                <c:pt idx="2">
                  <c:v>1557.7432633102139</c:v>
                </c:pt>
                <c:pt idx="3">
                  <c:v>1630.4853272101032</c:v>
                </c:pt>
              </c:numCache>
            </c:numRef>
          </c:val>
        </c:ser>
        <c:dLbls>
          <c:showLegendKey val="0"/>
          <c:showVal val="0"/>
          <c:showCatName val="0"/>
          <c:showSerName val="0"/>
          <c:showPercent val="0"/>
          <c:showBubbleSize val="0"/>
        </c:dLbls>
        <c:gapWidth val="100"/>
        <c:overlap val="-10"/>
        <c:axId val="289116992"/>
        <c:axId val="289117384"/>
      </c:barChart>
      <c:catAx>
        <c:axId val="289116992"/>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9117384"/>
        <c:crosses val="autoZero"/>
        <c:auto val="0"/>
        <c:lblAlgn val="ctr"/>
        <c:lblOffset val="100"/>
        <c:tickMarkSkip val="1"/>
        <c:noMultiLvlLbl val="0"/>
      </c:catAx>
      <c:valAx>
        <c:axId val="289117384"/>
        <c:scaling>
          <c:orientation val="minMax"/>
          <c:max val="1800"/>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3.5691738816738816E-2"/>
              <c:y val="0.44188080901652033"/>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9116992"/>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78625609308645"/>
          <c:y val="0.18518207679129936"/>
          <c:w val="0.81349983048236596"/>
          <c:h val="0.62183286969368379"/>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Calcs'!$I$168:$L$168</c:f>
              <c:numCache>
                <c:formatCode>General</c:formatCode>
                <c:ptCount val="4"/>
                <c:pt idx="3" formatCode="0.0">
                  <c:v>14.78598980084487</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Calcs'!$E$167:$H$167</c:f>
              <c:numCache>
                <c:formatCode>0.0</c:formatCode>
                <c:ptCount val="4"/>
                <c:pt idx="0">
                  <c:v>13.088741596537032</c:v>
                </c:pt>
                <c:pt idx="1">
                  <c:v>13.504117142231925</c:v>
                </c:pt>
                <c:pt idx="2">
                  <c:v>15.162163689072427</c:v>
                </c:pt>
                <c:pt idx="3">
                  <c:v>14.619730123606031</c:v>
                </c:pt>
              </c:numCache>
            </c:numRef>
          </c:val>
        </c:ser>
        <c:dLbls>
          <c:showLegendKey val="0"/>
          <c:showVal val="0"/>
          <c:showCatName val="0"/>
          <c:showSerName val="0"/>
          <c:showPercent val="0"/>
          <c:showBubbleSize val="0"/>
        </c:dLbls>
        <c:gapWidth val="100"/>
        <c:overlap val="-10"/>
        <c:axId val="289118560"/>
        <c:axId val="289118952"/>
      </c:barChart>
      <c:catAx>
        <c:axId val="289118560"/>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9118952"/>
        <c:crosses val="autoZero"/>
        <c:auto val="0"/>
        <c:lblAlgn val="ctr"/>
        <c:lblOffset val="100"/>
        <c:tickMarkSkip val="1"/>
        <c:noMultiLvlLbl val="0"/>
      </c:catAx>
      <c:valAx>
        <c:axId val="289118952"/>
        <c:scaling>
          <c:orientation val="minMax"/>
          <c:max val="18"/>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0873936261007573E-2"/>
              <c:y val="0.45777830166438782"/>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9118560"/>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333333"/>
                </a:solidFill>
                <a:latin typeface="Arial"/>
                <a:ea typeface="Arial"/>
                <a:cs typeface="Arial"/>
              </a:defRPr>
            </a:pPr>
            <a:r>
              <a:rPr lang="en-AU" sz="1100">
                <a:solidFill>
                  <a:sysClr val="windowText" lastClr="000000"/>
                </a:solidFill>
              </a:rPr>
              <a:t>Main Fund Asset Class Performance over Rolling Three Year Period to 30 June 2018</a:t>
            </a:r>
          </a:p>
        </c:rich>
      </c:tx>
      <c:layout>
        <c:manualLayout>
          <c:xMode val="edge"/>
          <c:yMode val="edge"/>
          <c:x val="0.14464600079211237"/>
          <c:y val="7.7236852960318259E-3"/>
        </c:manualLayout>
      </c:layout>
      <c:overlay val="0"/>
      <c:spPr>
        <a:noFill/>
        <a:ln w="25400">
          <a:noFill/>
        </a:ln>
      </c:spPr>
    </c:title>
    <c:autoTitleDeleted val="0"/>
    <c:plotArea>
      <c:layout>
        <c:manualLayout>
          <c:layoutTarget val="inner"/>
          <c:xMode val="edge"/>
          <c:yMode val="edge"/>
          <c:x val="8.496742872680349E-2"/>
          <c:y val="0.15568885035912122"/>
          <c:w val="0.9098050829823876"/>
          <c:h val="0.70155454752938495"/>
        </c:manualLayout>
      </c:layout>
      <c:barChart>
        <c:barDir val="col"/>
        <c:grouping val="clustered"/>
        <c:varyColors val="0"/>
        <c:ser>
          <c:idx val="1"/>
          <c:order val="0"/>
          <c:tx>
            <c:strRef>
              <c:f>'Rolling Three Year Periods'!$C$5</c:f>
              <c:strCache>
                <c:ptCount val="1"/>
                <c:pt idx="0">
                  <c:v>Main Fund</c:v>
                </c:pt>
              </c:strCache>
            </c:strRef>
          </c:tx>
          <c:spPr>
            <a:solidFill>
              <a:schemeClr val="accent1">
                <a:lumMod val="40000"/>
                <a:lumOff val="60000"/>
              </a:schemeClr>
            </a:solidFill>
            <a:ln w="25400">
              <a:noFill/>
            </a:ln>
          </c:spPr>
          <c:invertIfNegative val="0"/>
          <c:cat>
            <c:strRef>
              <c:f>'Rolling Three Year Periods'!$B$6:$B$12</c:f>
              <c:strCache>
                <c:ptCount val="7"/>
                <c:pt idx="0">
                  <c:v>Australian Equities</c:v>
                </c:pt>
                <c:pt idx="1">
                  <c:v>Global Equities</c:v>
                </c:pt>
                <c:pt idx="2">
                  <c:v>Property</c:v>
                </c:pt>
                <c:pt idx="3">
                  <c:v>Fixed Interest</c:v>
                </c:pt>
                <c:pt idx="4">
                  <c:v>Alternative Assets</c:v>
                </c:pt>
                <c:pt idx="5">
                  <c:v>Cash</c:v>
                </c:pt>
                <c:pt idx="6">
                  <c:v>Total Portfolio</c:v>
                </c:pt>
              </c:strCache>
            </c:strRef>
          </c:cat>
          <c:val>
            <c:numRef>
              <c:f>'Rolling Three Year Periods'!$C$6:$C$12</c:f>
              <c:numCache>
                <c:formatCode>0.0%</c:formatCode>
                <c:ptCount val="7"/>
                <c:pt idx="0">
                  <c:v>0.11622917312812842</c:v>
                </c:pt>
                <c:pt idx="1">
                  <c:v>8.5358447992385456E-2</c:v>
                </c:pt>
                <c:pt idx="2">
                  <c:v>6.9661167364219123E-2</c:v>
                </c:pt>
                <c:pt idx="3">
                  <c:v>4.6247904398435402E-2</c:v>
                </c:pt>
                <c:pt idx="4">
                  <c:v>0.10874154132617075</c:v>
                </c:pt>
                <c:pt idx="5">
                  <c:v>2.3461387159917857E-2</c:v>
                </c:pt>
                <c:pt idx="6">
                  <c:v>7.1921988917528212E-2</c:v>
                </c:pt>
              </c:numCache>
            </c:numRef>
          </c:val>
        </c:ser>
        <c:ser>
          <c:idx val="0"/>
          <c:order val="1"/>
          <c:tx>
            <c:strRef>
              <c:f>'Rolling Three Year Periods'!$D$5</c:f>
              <c:strCache>
                <c:ptCount val="1"/>
                <c:pt idx="0">
                  <c:v>Benchmark  </c:v>
                </c:pt>
              </c:strCache>
            </c:strRef>
          </c:tx>
          <c:spPr>
            <a:solidFill>
              <a:srgbClr val="1F497D"/>
            </a:solidFill>
            <a:ln w="25400">
              <a:noFill/>
            </a:ln>
          </c:spPr>
          <c:invertIfNegative val="0"/>
          <c:cat>
            <c:strRef>
              <c:f>'Rolling Three Year Periods'!$B$6:$B$12</c:f>
              <c:strCache>
                <c:ptCount val="7"/>
                <c:pt idx="0">
                  <c:v>Australian Equities</c:v>
                </c:pt>
                <c:pt idx="1">
                  <c:v>Global Equities</c:v>
                </c:pt>
                <c:pt idx="2">
                  <c:v>Property</c:v>
                </c:pt>
                <c:pt idx="3">
                  <c:v>Fixed Interest</c:v>
                </c:pt>
                <c:pt idx="4">
                  <c:v>Alternative Assets</c:v>
                </c:pt>
                <c:pt idx="5">
                  <c:v>Cash</c:v>
                </c:pt>
                <c:pt idx="6">
                  <c:v>Total Portfolio</c:v>
                </c:pt>
              </c:strCache>
            </c:strRef>
          </c:cat>
          <c:val>
            <c:numRef>
              <c:f>'Rolling Three Year Periods'!$D$6:$D$12</c:f>
              <c:numCache>
                <c:formatCode>0.0%</c:formatCode>
                <c:ptCount val="7"/>
                <c:pt idx="0">
                  <c:v>9.1493155460313558E-2</c:v>
                </c:pt>
                <c:pt idx="1">
                  <c:v>9.6214016617050424E-2</c:v>
                </c:pt>
                <c:pt idx="2">
                  <c:v>0.12229290044187713</c:v>
                </c:pt>
                <c:pt idx="3">
                  <c:v>3.3428496501511473E-2</c:v>
                </c:pt>
                <c:pt idx="4">
                  <c:v>6.9008684807841059E-2</c:v>
                </c:pt>
                <c:pt idx="5">
                  <c:v>1.9471245155888051E-2</c:v>
                </c:pt>
                <c:pt idx="6">
                  <c:v>7.9661958657405219E-2</c:v>
                </c:pt>
              </c:numCache>
            </c:numRef>
          </c:val>
        </c:ser>
        <c:dLbls>
          <c:showLegendKey val="0"/>
          <c:showVal val="0"/>
          <c:showCatName val="0"/>
          <c:showSerName val="0"/>
          <c:showPercent val="0"/>
          <c:showBubbleSize val="0"/>
        </c:dLbls>
        <c:gapWidth val="150"/>
        <c:axId val="289120128"/>
        <c:axId val="289120520"/>
      </c:barChart>
      <c:catAx>
        <c:axId val="2891201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rtl="1">
              <a:defRPr sz="800" b="1" i="0" u="none" strike="noStrike" baseline="0">
                <a:solidFill>
                  <a:srgbClr val="333333"/>
                </a:solidFill>
                <a:latin typeface="Arial"/>
                <a:ea typeface="Arial"/>
                <a:cs typeface="Arial"/>
              </a:defRPr>
            </a:pPr>
            <a:endParaRPr lang="en-US"/>
          </a:p>
        </c:txPr>
        <c:crossAx val="289120520"/>
        <c:crosses val="autoZero"/>
        <c:auto val="1"/>
        <c:lblAlgn val="ctr"/>
        <c:lblOffset val="100"/>
        <c:tickLblSkip val="1"/>
        <c:tickMarkSkip val="1"/>
        <c:noMultiLvlLbl val="0"/>
      </c:catAx>
      <c:valAx>
        <c:axId val="289120520"/>
        <c:scaling>
          <c:orientation val="minMax"/>
        </c:scaling>
        <c:delete val="0"/>
        <c:axPos val="l"/>
        <c:majorGridlines>
          <c:spPr>
            <a:ln w="3175">
              <a:solidFill>
                <a:srgbClr val="000000"/>
              </a:solidFill>
              <a:prstDash val="solid"/>
            </a:ln>
          </c:spPr>
        </c:majorGridlines>
        <c:numFmt formatCode="0.0%" sourceLinked="0"/>
        <c:majorTickMark val="in"/>
        <c:minorTickMark val="in"/>
        <c:tickLblPos val="low"/>
        <c:spPr>
          <a:ln w="3175">
            <a:solidFill>
              <a:srgbClr val="000000"/>
            </a:solidFill>
            <a:prstDash val="solid"/>
          </a:ln>
        </c:spPr>
        <c:txPr>
          <a:bodyPr rot="0" vert="horz"/>
          <a:lstStyle/>
          <a:p>
            <a:pPr>
              <a:defRPr sz="800" b="1" i="0" u="none" strike="noStrike" baseline="0">
                <a:solidFill>
                  <a:srgbClr val="333333"/>
                </a:solidFill>
                <a:latin typeface="Arial"/>
                <a:ea typeface="Arial"/>
                <a:cs typeface="Arial"/>
              </a:defRPr>
            </a:pPr>
            <a:endParaRPr lang="en-US"/>
          </a:p>
        </c:txPr>
        <c:crossAx val="289120128"/>
        <c:crosses val="autoZero"/>
        <c:crossBetween val="between"/>
      </c:valAx>
      <c:spPr>
        <a:solidFill>
          <a:sysClr val="window" lastClr="FFFFFF"/>
        </a:solidFill>
        <a:ln>
          <a:solidFill>
            <a:srgbClr val="000000"/>
          </a:solidFill>
        </a:ln>
      </c:spPr>
    </c:plotArea>
    <c:legend>
      <c:legendPos val="r"/>
      <c:legendEntry>
        <c:idx val="0"/>
        <c:txPr>
          <a:bodyPr/>
          <a:lstStyle/>
          <a:p>
            <a:pPr>
              <a:defRPr sz="900" b="0" i="0" u="none" strike="noStrike" baseline="0">
                <a:solidFill>
                  <a:srgbClr val="333333"/>
                </a:solidFill>
                <a:latin typeface="Arial"/>
                <a:ea typeface="Arial"/>
                <a:cs typeface="Arial"/>
              </a:defRPr>
            </a:pPr>
            <a:endParaRPr lang="en-US"/>
          </a:p>
        </c:txPr>
      </c:legendEntry>
      <c:legendEntry>
        <c:idx val="1"/>
        <c:txPr>
          <a:bodyPr/>
          <a:lstStyle/>
          <a:p>
            <a:pPr>
              <a:defRPr sz="900" b="0" i="0" u="none" strike="noStrike" baseline="0">
                <a:solidFill>
                  <a:srgbClr val="333333"/>
                </a:solidFill>
                <a:latin typeface="Arial"/>
                <a:ea typeface="Arial"/>
                <a:cs typeface="Arial"/>
              </a:defRPr>
            </a:pPr>
            <a:endParaRPr lang="en-US"/>
          </a:p>
        </c:txPr>
      </c:legendEntry>
      <c:layout>
        <c:manualLayout>
          <c:xMode val="edge"/>
          <c:yMode val="edge"/>
          <c:x val="0.10718997754146711"/>
          <c:y val="0.1591064703868538"/>
          <c:w val="0.35713991600817241"/>
          <c:h val="8.9919243214505049E-2"/>
        </c:manualLayout>
      </c:layout>
      <c:overlay val="0"/>
      <c:spPr>
        <a:solidFill>
          <a:srgbClr val="FFFFFF"/>
        </a:solidFill>
        <a:ln w="25400">
          <a:noFill/>
        </a:ln>
      </c:spPr>
      <c:txPr>
        <a:bodyPr/>
        <a:lstStyle/>
        <a:p>
          <a:pPr>
            <a:defRPr sz="575" b="0" i="0" u="none" strike="noStrike" baseline="0">
              <a:solidFill>
                <a:srgbClr val="333333"/>
              </a:solidFill>
              <a:latin typeface="Arial"/>
              <a:ea typeface="Arial"/>
              <a:cs typeface="Arial"/>
            </a:defRPr>
          </a:pPr>
          <a:endParaRPr lang="en-US"/>
        </a:p>
      </c:txPr>
    </c:legend>
    <c:plotVisOnly val="1"/>
    <c:dispBlanksAs val="gap"/>
    <c:showDLblsOverMax val="0"/>
  </c:chart>
  <c:spPr>
    <a:solidFill>
      <a:sysClr val="window" lastClr="FFFFFF"/>
    </a:solidFill>
    <a:ln w="3175">
      <a:noFill/>
      <a:prstDash val="solid"/>
    </a:ln>
  </c:spPr>
  <c:txPr>
    <a:bodyPr/>
    <a:lstStyle/>
    <a:p>
      <a:pPr>
        <a:defRPr sz="1000" b="0" i="0" u="none" strike="noStrike" baseline="0">
          <a:solidFill>
            <a:srgbClr val="333333"/>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ysClr val="windowText" lastClr="000000"/>
                </a:solidFill>
                <a:latin typeface="Arial"/>
                <a:ea typeface="Arial"/>
                <a:cs typeface="Arial"/>
              </a:defRPr>
            </a:pPr>
            <a:r>
              <a:rPr lang="en-AU" sz="1100">
                <a:solidFill>
                  <a:sysClr val="windowText" lastClr="000000"/>
                </a:solidFill>
              </a:rPr>
              <a:t> Growth in Insurance Commission Investment Assets (Net of Dividends) from 1998 to 2018</a:t>
            </a:r>
          </a:p>
        </c:rich>
      </c:tx>
      <c:layout>
        <c:manualLayout>
          <c:xMode val="edge"/>
          <c:yMode val="edge"/>
          <c:x val="0.13435630275945237"/>
          <c:y val="9.9073802215401047E-2"/>
        </c:manualLayout>
      </c:layout>
      <c:overlay val="0"/>
      <c:spPr>
        <a:noFill/>
        <a:ln w="25400">
          <a:noFill/>
        </a:ln>
      </c:spPr>
    </c:title>
    <c:autoTitleDeleted val="0"/>
    <c:plotArea>
      <c:layout>
        <c:manualLayout>
          <c:layoutTarget val="inner"/>
          <c:xMode val="edge"/>
          <c:yMode val="edge"/>
          <c:x val="0.10087729304107257"/>
          <c:y val="0.28026068775301394"/>
          <c:w val="0.85526437897532159"/>
          <c:h val="0.58934259487441587"/>
        </c:manualLayout>
      </c:layout>
      <c:lineChart>
        <c:grouping val="standard"/>
        <c:varyColors val="0"/>
        <c:ser>
          <c:idx val="0"/>
          <c:order val="0"/>
          <c:spPr>
            <a:ln w="25400">
              <a:solidFill>
                <a:srgbClr val="2B699C"/>
              </a:solidFill>
              <a:prstDash val="solid"/>
            </a:ln>
          </c:spPr>
          <c:cat>
            <c:strRef>
              <c:f>'Portfolio Growth '!$A$8:$A$28</c:f>
              <c:strCach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strCache>
            </c:strRef>
          </c:cat>
          <c:val>
            <c:numRef>
              <c:f>'Portfolio Growth '!$B$8:$B$28</c:f>
              <c:numCache>
                <c:formatCode>"$"#,##0.00</c:formatCode>
                <c:ptCount val="21"/>
                <c:pt idx="0">
                  <c:v>979</c:v>
                </c:pt>
                <c:pt idx="1">
                  <c:v>1124.1152999999999</c:v>
                </c:pt>
                <c:pt idx="2">
                  <c:v>1297</c:v>
                </c:pt>
                <c:pt idx="3">
                  <c:v>1397.8</c:v>
                </c:pt>
                <c:pt idx="4">
                  <c:v>1400.396117</c:v>
                </c:pt>
                <c:pt idx="5">
                  <c:v>1510</c:v>
                </c:pt>
                <c:pt idx="6">
                  <c:v>1716</c:v>
                </c:pt>
                <c:pt idx="7">
                  <c:v>1970</c:v>
                </c:pt>
                <c:pt idx="8">
                  <c:v>2386.9</c:v>
                </c:pt>
                <c:pt idx="9">
                  <c:v>2930.2506170000001</c:v>
                </c:pt>
                <c:pt idx="10">
                  <c:v>2895.65</c:v>
                </c:pt>
                <c:pt idx="11">
                  <c:v>2552.6</c:v>
                </c:pt>
                <c:pt idx="12">
                  <c:v>2793.77</c:v>
                </c:pt>
                <c:pt idx="13">
                  <c:v>3060.61</c:v>
                </c:pt>
                <c:pt idx="14">
                  <c:v>3137.346</c:v>
                </c:pt>
                <c:pt idx="15">
                  <c:v>3673.6439999999998</c:v>
                </c:pt>
                <c:pt idx="16">
                  <c:v>3940.7739999999999</c:v>
                </c:pt>
                <c:pt idx="17">
                  <c:v>4384.5919999999996</c:v>
                </c:pt>
                <c:pt idx="18">
                  <c:v>4403.3310000000001</c:v>
                </c:pt>
                <c:pt idx="19">
                  <c:v>4872.4170000000004</c:v>
                </c:pt>
                <c:pt idx="20">
                  <c:v>5319.9546594335334</c:v>
                </c:pt>
              </c:numCache>
            </c:numRef>
          </c:val>
          <c:smooth val="0"/>
        </c:ser>
        <c:dLbls>
          <c:showLegendKey val="0"/>
          <c:showVal val="0"/>
          <c:showCatName val="0"/>
          <c:showSerName val="0"/>
          <c:showPercent val="0"/>
          <c:showBubbleSize val="0"/>
        </c:dLbls>
        <c:marker val="1"/>
        <c:smooth val="0"/>
        <c:axId val="289308912"/>
        <c:axId val="289309304"/>
      </c:lineChart>
      <c:dateAx>
        <c:axId val="289308912"/>
        <c:scaling>
          <c:orientation val="minMax"/>
        </c:scaling>
        <c:delete val="0"/>
        <c:axPos val="b"/>
        <c:title>
          <c:tx>
            <c:rich>
              <a:bodyPr/>
              <a:lstStyle/>
              <a:p>
                <a:pPr>
                  <a:defRPr sz="900" b="1" i="0" u="none" strike="noStrike" baseline="0">
                    <a:solidFill>
                      <a:srgbClr val="333333"/>
                    </a:solidFill>
                    <a:latin typeface="Arial"/>
                    <a:ea typeface="Arial"/>
                    <a:cs typeface="Arial"/>
                  </a:defRPr>
                </a:pPr>
                <a:r>
                  <a:rPr lang="en-AU"/>
                  <a:t>$'m</a:t>
                </a:r>
              </a:p>
            </c:rich>
          </c:tx>
          <c:layout>
            <c:manualLayout>
              <c:xMode val="edge"/>
              <c:yMode val="edge"/>
              <c:x val="2.9239696389302686E-2"/>
              <c:y val="0.1598748461527055"/>
            </c:manualLayout>
          </c:layout>
          <c:overlay val="0"/>
          <c:spPr>
            <a:noFill/>
            <a:ln w="25400">
              <a:noFill/>
            </a:ln>
          </c:spPr>
        </c:title>
        <c:numFmt formatCode="m/d/yyyy" sourceLinked="0"/>
        <c:majorTickMark val="out"/>
        <c:minorTickMark val="none"/>
        <c:tickLblPos val="low"/>
        <c:spPr>
          <a:ln w="9525">
            <a:noFill/>
          </a:ln>
        </c:spPr>
        <c:txPr>
          <a:bodyPr rot="0" vert="horz"/>
          <a:lstStyle/>
          <a:p>
            <a:pPr>
              <a:defRPr sz="900" b="0" i="0" u="none" strike="noStrike" baseline="0">
                <a:solidFill>
                  <a:srgbClr val="333333"/>
                </a:solidFill>
                <a:latin typeface="Arial"/>
                <a:ea typeface="Arial"/>
                <a:cs typeface="Arial"/>
              </a:defRPr>
            </a:pPr>
            <a:endParaRPr lang="en-US"/>
          </a:p>
        </c:txPr>
        <c:crossAx val="289309304"/>
        <c:crossesAt val="0"/>
        <c:auto val="0"/>
        <c:lblOffset val="100"/>
        <c:baseTimeUnit val="days"/>
        <c:majorUnit val="2"/>
        <c:majorTimeUnit val="days"/>
        <c:minorUnit val="1"/>
        <c:minorTimeUnit val="days"/>
      </c:dateAx>
      <c:valAx>
        <c:axId val="289309304"/>
        <c:scaling>
          <c:orientation val="minMax"/>
        </c:scaling>
        <c:delete val="0"/>
        <c:axPos val="l"/>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333333"/>
                </a:solidFill>
                <a:latin typeface="Arial"/>
                <a:ea typeface="Arial"/>
                <a:cs typeface="Arial"/>
              </a:defRPr>
            </a:pPr>
            <a:endParaRPr lang="en-US"/>
          </a:p>
        </c:txPr>
        <c:crossAx val="289308912"/>
        <c:crossesAt val="1"/>
        <c:crossBetween val="between"/>
        <c:minorUnit val="40"/>
      </c:valAx>
      <c:spPr>
        <a:noFill/>
        <a:ln w="12700">
          <a:solidFill>
            <a:schemeClr val="tx1"/>
          </a:solidFill>
        </a:ln>
      </c:spPr>
    </c:plotArea>
    <c:plotVisOnly val="1"/>
    <c:dispBlanksAs val="gap"/>
    <c:showDLblsOverMax val="0"/>
  </c:chart>
  <c:spPr>
    <a:solidFill>
      <a:sysClr val="window" lastClr="FFFFFF"/>
    </a:solidFill>
    <a:ln w="3175">
      <a:noFill/>
      <a:prstDash val="solid"/>
    </a:ln>
  </c:spPr>
  <c:txPr>
    <a:bodyPr/>
    <a:lstStyle/>
    <a:p>
      <a:pPr>
        <a:defRPr sz="1150" b="0" i="0" u="none" strike="noStrike" baseline="0">
          <a:solidFill>
            <a:srgbClr val="333333"/>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ysClr val="windowText" lastClr="000000"/>
                </a:solidFill>
                <a:latin typeface="Arial"/>
                <a:ea typeface="Arial"/>
                <a:cs typeface="Arial"/>
              </a:defRPr>
            </a:pPr>
            <a:r>
              <a:rPr lang="en-AU" sz="1100">
                <a:solidFill>
                  <a:sysClr val="windowText" lastClr="000000"/>
                </a:solidFill>
              </a:rPr>
              <a:t>Main Fund Asset Allocation as at 30 June 2018</a:t>
            </a:r>
          </a:p>
        </c:rich>
      </c:tx>
      <c:layout>
        <c:manualLayout>
          <c:xMode val="edge"/>
          <c:yMode val="edge"/>
          <c:x val="0.29063895040025828"/>
          <c:y val="3.8158666766077869E-2"/>
        </c:manualLayout>
      </c:layout>
      <c:overlay val="0"/>
      <c:spPr>
        <a:noFill/>
        <a:ln w="25400">
          <a:noFill/>
        </a:ln>
      </c:spPr>
    </c:title>
    <c:autoTitleDeleted val="0"/>
    <c:plotArea>
      <c:layout>
        <c:manualLayout>
          <c:layoutTarget val="inner"/>
          <c:xMode val="edge"/>
          <c:yMode val="edge"/>
          <c:x val="0.11409768184571333"/>
          <c:y val="0.13746630727762812"/>
          <c:w val="0.84990283207606043"/>
          <c:h val="0.73854447439353144"/>
        </c:manualLayout>
      </c:layout>
      <c:barChart>
        <c:barDir val="col"/>
        <c:grouping val="clustered"/>
        <c:varyColors val="0"/>
        <c:ser>
          <c:idx val="0"/>
          <c:order val="0"/>
          <c:tx>
            <c:strRef>
              <c:f>'Asset Allocation 17'!$C$3</c:f>
              <c:strCache>
                <c:ptCount val="1"/>
                <c:pt idx="0">
                  <c:v>Actual Asset Allocation</c:v>
                </c:pt>
              </c:strCache>
            </c:strRef>
          </c:tx>
          <c:spPr>
            <a:solidFill>
              <a:srgbClr val="B9CDE5"/>
            </a:solidFill>
          </c:spPr>
          <c:invertIfNegative val="0"/>
          <c:cat>
            <c:strRef>
              <c:f>'Asset Allocation 17'!$A$4:$A$9</c:f>
              <c:strCache>
                <c:ptCount val="6"/>
                <c:pt idx="0">
                  <c:v>Australian Equities</c:v>
                </c:pt>
                <c:pt idx="1">
                  <c:v>Global Equities</c:v>
                </c:pt>
                <c:pt idx="2">
                  <c:v>Alternative Assets</c:v>
                </c:pt>
                <c:pt idx="3">
                  <c:v>Property</c:v>
                </c:pt>
                <c:pt idx="4">
                  <c:v>Fixed Interest</c:v>
                </c:pt>
                <c:pt idx="5">
                  <c:v>Cash</c:v>
                </c:pt>
              </c:strCache>
            </c:strRef>
          </c:cat>
          <c:val>
            <c:numRef>
              <c:f>'Asset Allocation 17'!$C$4:$C$9</c:f>
              <c:numCache>
                <c:formatCode>0.00%</c:formatCode>
                <c:ptCount val="6"/>
                <c:pt idx="0">
                  <c:v>0.20045478022251564</c:v>
                </c:pt>
                <c:pt idx="1">
                  <c:v>0.20870606805331113</c:v>
                </c:pt>
                <c:pt idx="2">
                  <c:v>0.19483255217648388</c:v>
                </c:pt>
                <c:pt idx="3">
                  <c:v>0.14327913605091833</c:v>
                </c:pt>
                <c:pt idx="4">
                  <c:v>4.7183200959564374E-2</c:v>
                </c:pt>
                <c:pt idx="5">
                  <c:v>0.20554426253720659</c:v>
                </c:pt>
              </c:numCache>
            </c:numRef>
          </c:val>
        </c:ser>
        <c:ser>
          <c:idx val="1"/>
          <c:order val="1"/>
          <c:tx>
            <c:strRef>
              <c:f>'Asset Allocation 17'!$B$3</c:f>
              <c:strCache>
                <c:ptCount val="1"/>
                <c:pt idx="0">
                  <c:v>Strategic Asset Allocation</c:v>
                </c:pt>
              </c:strCache>
            </c:strRef>
          </c:tx>
          <c:spPr>
            <a:solidFill>
              <a:srgbClr val="1F4B7D"/>
            </a:solidFill>
          </c:spPr>
          <c:invertIfNegative val="0"/>
          <c:cat>
            <c:strRef>
              <c:f>'Asset Allocation 17'!$A$4:$A$9</c:f>
              <c:strCache>
                <c:ptCount val="6"/>
                <c:pt idx="0">
                  <c:v>Australian Equities</c:v>
                </c:pt>
                <c:pt idx="1">
                  <c:v>Global Equities</c:v>
                </c:pt>
                <c:pt idx="2">
                  <c:v>Alternative Assets</c:v>
                </c:pt>
                <c:pt idx="3">
                  <c:v>Property</c:v>
                </c:pt>
                <c:pt idx="4">
                  <c:v>Fixed Interest</c:v>
                </c:pt>
                <c:pt idx="5">
                  <c:v>Cash</c:v>
                </c:pt>
              </c:strCache>
            </c:strRef>
          </c:cat>
          <c:val>
            <c:numRef>
              <c:f>'Asset Allocation 17'!$B$4:$B$9</c:f>
              <c:numCache>
                <c:formatCode>0.00%</c:formatCode>
                <c:ptCount val="6"/>
                <c:pt idx="0">
                  <c:v>0.2</c:v>
                </c:pt>
                <c:pt idx="1">
                  <c:v>0.21</c:v>
                </c:pt>
                <c:pt idx="2">
                  <c:v>0.16</c:v>
                </c:pt>
                <c:pt idx="3">
                  <c:v>0.15</c:v>
                </c:pt>
                <c:pt idx="4">
                  <c:v>0.2</c:v>
                </c:pt>
                <c:pt idx="5">
                  <c:v>0.08</c:v>
                </c:pt>
              </c:numCache>
            </c:numRef>
          </c:val>
        </c:ser>
        <c:dLbls>
          <c:showLegendKey val="0"/>
          <c:showVal val="0"/>
          <c:showCatName val="0"/>
          <c:showSerName val="0"/>
          <c:showPercent val="0"/>
          <c:showBubbleSize val="0"/>
        </c:dLbls>
        <c:gapWidth val="70"/>
        <c:axId val="289310088"/>
        <c:axId val="289310480"/>
      </c:barChart>
      <c:catAx>
        <c:axId val="289310088"/>
        <c:scaling>
          <c:orientation val="minMax"/>
        </c:scaling>
        <c:delete val="0"/>
        <c:axPos val="b"/>
        <c:numFmt formatCode="General" sourceLinked="1"/>
        <c:majorTickMark val="out"/>
        <c:minorTickMark val="none"/>
        <c:tickLblPos val="low"/>
        <c:spPr>
          <a:ln w="3175">
            <a:solidFill>
              <a:schemeClr val="tx1"/>
            </a:solidFill>
            <a:prstDash val="solid"/>
          </a:ln>
        </c:spPr>
        <c:txPr>
          <a:bodyPr rot="0" vert="horz"/>
          <a:lstStyle/>
          <a:p>
            <a:pPr>
              <a:defRPr sz="800" b="1" i="0" u="none" strike="noStrike" baseline="0">
                <a:solidFill>
                  <a:srgbClr val="333333"/>
                </a:solidFill>
                <a:latin typeface="Arial"/>
                <a:ea typeface="Arial"/>
                <a:cs typeface="Arial"/>
              </a:defRPr>
            </a:pPr>
            <a:endParaRPr lang="en-US"/>
          </a:p>
        </c:txPr>
        <c:crossAx val="289310480"/>
        <c:crosses val="autoZero"/>
        <c:auto val="1"/>
        <c:lblAlgn val="ctr"/>
        <c:lblOffset val="100"/>
        <c:tickLblSkip val="1"/>
        <c:tickMarkSkip val="1"/>
        <c:noMultiLvlLbl val="0"/>
      </c:catAx>
      <c:valAx>
        <c:axId val="289310480"/>
        <c:scaling>
          <c:orientation val="minMax"/>
          <c:max val="0.35000000000000003"/>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333333"/>
                    </a:solidFill>
                    <a:latin typeface="Arial"/>
                    <a:ea typeface="Arial"/>
                    <a:cs typeface="Arial"/>
                  </a:defRPr>
                </a:pPr>
                <a:r>
                  <a:rPr lang="en-AU"/>
                  <a:t>Percentage</a:t>
                </a:r>
              </a:p>
            </c:rich>
          </c:tx>
          <c:layout>
            <c:manualLayout>
              <c:xMode val="edge"/>
              <c:yMode val="edge"/>
              <c:x val="1.4429601894168824E-2"/>
              <c:y val="0.363881548704717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333333"/>
                </a:solidFill>
                <a:latin typeface="Arial"/>
                <a:ea typeface="Arial"/>
                <a:cs typeface="Arial"/>
              </a:defRPr>
            </a:pPr>
            <a:endParaRPr lang="en-US"/>
          </a:p>
        </c:txPr>
        <c:crossAx val="289310088"/>
        <c:crosses val="autoZero"/>
        <c:crossBetween val="between"/>
        <c:majorUnit val="0.05"/>
      </c:valAx>
      <c:spPr>
        <a:solidFill>
          <a:srgbClr val="FFFFFF"/>
        </a:solidFill>
        <a:ln w="3175">
          <a:solidFill>
            <a:srgbClr val="000000"/>
          </a:solidFill>
          <a:prstDash val="solid"/>
        </a:ln>
      </c:spPr>
    </c:plotArea>
    <c:legend>
      <c:legendPos val="r"/>
      <c:legendEntry>
        <c:idx val="0"/>
        <c:txPr>
          <a:bodyPr/>
          <a:lstStyle/>
          <a:p>
            <a:pPr>
              <a:defRPr sz="900" b="0" i="0" u="none" strike="noStrike" baseline="0">
                <a:solidFill>
                  <a:srgbClr val="333333"/>
                </a:solidFill>
                <a:latin typeface="Arial"/>
                <a:ea typeface="Arial"/>
                <a:cs typeface="Arial"/>
              </a:defRPr>
            </a:pPr>
            <a:endParaRPr lang="en-US"/>
          </a:p>
        </c:txPr>
      </c:legendEntry>
      <c:legendEntry>
        <c:idx val="1"/>
        <c:txPr>
          <a:bodyPr/>
          <a:lstStyle/>
          <a:p>
            <a:pPr>
              <a:defRPr sz="900" b="0" i="0" u="none" strike="noStrike" baseline="0">
                <a:solidFill>
                  <a:srgbClr val="333333"/>
                </a:solidFill>
                <a:latin typeface="Arial"/>
                <a:ea typeface="Arial"/>
                <a:cs typeface="Arial"/>
              </a:defRPr>
            </a:pPr>
            <a:endParaRPr lang="en-US"/>
          </a:p>
        </c:txPr>
      </c:legendEntry>
      <c:layout>
        <c:manualLayout>
          <c:xMode val="edge"/>
          <c:yMode val="edge"/>
          <c:x val="0.1199501968083586"/>
          <c:y val="0.14143567068525656"/>
          <c:w val="0.57880438711977145"/>
          <c:h val="9.6216647270676178E-2"/>
        </c:manualLayout>
      </c:layout>
      <c:overlay val="0"/>
      <c:spPr>
        <a:solidFill>
          <a:srgbClr val="FFFFFF"/>
        </a:solidFill>
        <a:ln w="25400">
          <a:noFill/>
        </a:ln>
      </c:spPr>
      <c:txPr>
        <a:bodyPr/>
        <a:lstStyle/>
        <a:p>
          <a:pPr>
            <a:defRPr sz="520" b="0" i="0" u="none" strike="noStrike" baseline="0">
              <a:solidFill>
                <a:srgbClr val="333333"/>
              </a:solidFill>
              <a:latin typeface="Arial"/>
              <a:ea typeface="Arial"/>
              <a:cs typeface="Arial"/>
            </a:defRPr>
          </a:pPr>
          <a:endParaRPr lang="en-US"/>
        </a:p>
      </c:txPr>
    </c:legend>
    <c:plotVisOnly val="1"/>
    <c:dispBlanksAs val="gap"/>
    <c:showDLblsOverMax val="0"/>
  </c:chart>
  <c:spPr>
    <a:solidFill>
      <a:sysClr val="window" lastClr="FFFFFF"/>
    </a:solidFill>
    <a:ln w="3175">
      <a:noFill/>
      <a:prstDash val="solid"/>
    </a:ln>
  </c:spPr>
  <c:txPr>
    <a:bodyPr/>
    <a:lstStyle/>
    <a:p>
      <a:pPr>
        <a:defRPr sz="1625" b="0" i="0" u="none" strike="noStrike" baseline="0">
          <a:solidFill>
            <a:srgbClr val="333333"/>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6331131850373"/>
          <c:y val="0.15742688968612675"/>
          <c:w val="0.79063455833029461"/>
          <c:h val="0.64958828371305655"/>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Calcs'!$I$10:$L$10</c:f>
              <c:numCache>
                <c:formatCode>General</c:formatCode>
                <c:ptCount val="4"/>
                <c:pt idx="3" formatCode="#,##0.0;\(#,##0.0\)">
                  <c:v>4.2337148754011444</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Calcs'!$E$9:$H$9</c:f>
              <c:numCache>
                <c:formatCode>#,##0.0;\(#,##0.0\)</c:formatCode>
                <c:ptCount val="4"/>
                <c:pt idx="0">
                  <c:v>5.9782219682657347</c:v>
                </c:pt>
                <c:pt idx="1">
                  <c:v>0.11026849010585796</c:v>
                </c:pt>
                <c:pt idx="2">
                  <c:v>5.342628732005374</c:v>
                </c:pt>
                <c:pt idx="3">
                  <c:v>7.0997973844145594</c:v>
                </c:pt>
              </c:numCache>
            </c:numRef>
          </c:val>
        </c:ser>
        <c:dLbls>
          <c:showLegendKey val="0"/>
          <c:showVal val="0"/>
          <c:showCatName val="0"/>
          <c:showSerName val="0"/>
          <c:showPercent val="0"/>
          <c:showBubbleSize val="0"/>
        </c:dLbls>
        <c:gapWidth val="100"/>
        <c:overlap val="-10"/>
        <c:axId val="230671384"/>
        <c:axId val="230671776"/>
      </c:barChart>
      <c:catAx>
        <c:axId val="23067138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30671776"/>
        <c:crosses val="autoZero"/>
        <c:auto val="0"/>
        <c:lblAlgn val="ctr"/>
        <c:lblOffset val="100"/>
        <c:tickMarkSkip val="1"/>
        <c:noMultiLvlLbl val="0"/>
      </c:catAx>
      <c:valAx>
        <c:axId val="230671776"/>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7.2332716557943225E-2"/>
              <c:y val="0.4379126869496348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3067138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3392624907487"/>
          <c:y val="0.11812634419366667"/>
          <c:w val="0.81445400646855481"/>
          <c:h val="0.60237407343061411"/>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Calcs'!$I$25:$L$25</c:f>
              <c:numCache>
                <c:formatCode>General</c:formatCode>
                <c:ptCount val="4"/>
                <c:pt idx="3" formatCode="#,##0.0;\(#,##0.0\)">
                  <c:v>88.363287485292844</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Calcs'!$E$24:$H$24</c:f>
              <c:numCache>
                <c:formatCode>#,##0.0;\(#,##0.0\)</c:formatCode>
                <c:ptCount val="4"/>
                <c:pt idx="0">
                  <c:v>94.661177320891682</c:v>
                </c:pt>
                <c:pt idx="1">
                  <c:v>92.768711260747494</c:v>
                </c:pt>
                <c:pt idx="2">
                  <c:v>100.88459554969833</c:v>
                </c:pt>
                <c:pt idx="3">
                  <c:v>85.696505115135437</c:v>
                </c:pt>
              </c:numCache>
            </c:numRef>
          </c:val>
        </c:ser>
        <c:dLbls>
          <c:showLegendKey val="0"/>
          <c:showVal val="0"/>
          <c:showCatName val="0"/>
          <c:showSerName val="0"/>
          <c:showPercent val="0"/>
          <c:showBubbleSize val="0"/>
        </c:dLbls>
        <c:gapWidth val="100"/>
        <c:overlap val="-10"/>
        <c:axId val="230800136"/>
        <c:axId val="230800528"/>
      </c:barChart>
      <c:catAx>
        <c:axId val="23080013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30800528"/>
        <c:crosses val="autoZero"/>
        <c:auto val="0"/>
        <c:lblAlgn val="ctr"/>
        <c:lblOffset val="100"/>
        <c:tickMarkSkip val="1"/>
        <c:noMultiLvlLbl val="0"/>
      </c:catAx>
      <c:valAx>
        <c:axId val="230800528"/>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US" sz="1000">
                    <a:solidFill>
                      <a:sysClr val="windowText" lastClr="000000"/>
                    </a:solidFill>
                    <a:latin typeface="Futura Std Medium" panose="020B0502020204020303" pitchFamily="34" charset="0"/>
                  </a:rPr>
                  <a:t>%</a:t>
                </a:r>
              </a:p>
            </c:rich>
          </c:tx>
          <c:layout>
            <c:manualLayout>
              <c:xMode val="edge"/>
              <c:yMode val="edge"/>
              <c:x val="4.4817650805697475E-2"/>
              <c:y val="0.39307985641540316"/>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30800136"/>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3392624907487"/>
          <c:y val="0.11824400252525252"/>
          <c:w val="0.81445400646855481"/>
          <c:h val="0.60194665404040404"/>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Calcs'!$I$35:$L$35</c:f>
              <c:numCache>
                <c:formatCode>General</c:formatCode>
                <c:ptCount val="4"/>
                <c:pt idx="3" formatCode="#,##0.0">
                  <c:v>10.267304471681808</c:v>
                </c:pt>
              </c:numCache>
            </c:numRef>
          </c:val>
        </c:ser>
        <c:ser>
          <c:idx val="1"/>
          <c:order val="1"/>
          <c:tx>
            <c:v>ACTUAL*</c:v>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Calcs'!$E$34:$H$34</c:f>
              <c:numCache>
                <c:formatCode>#,##0.0</c:formatCode>
                <c:ptCount val="4"/>
                <c:pt idx="0">
                  <c:v>10.982308913170582</c:v>
                </c:pt>
                <c:pt idx="1">
                  <c:v>10.472444704742607</c:v>
                </c:pt>
                <c:pt idx="2">
                  <c:v>11.086269730366483</c:v>
                </c:pt>
                <c:pt idx="3">
                  <c:v>9.8633513046844232</c:v>
                </c:pt>
              </c:numCache>
            </c:numRef>
          </c:val>
        </c:ser>
        <c:dLbls>
          <c:showLegendKey val="0"/>
          <c:showVal val="0"/>
          <c:showCatName val="0"/>
          <c:showSerName val="0"/>
          <c:showPercent val="0"/>
          <c:showBubbleSize val="0"/>
        </c:dLbls>
        <c:gapWidth val="100"/>
        <c:overlap val="-10"/>
        <c:axId val="230802096"/>
        <c:axId val="230802488"/>
      </c:barChart>
      <c:catAx>
        <c:axId val="230802096"/>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30802488"/>
        <c:crosses val="autoZero"/>
        <c:auto val="0"/>
        <c:lblAlgn val="ctr"/>
        <c:lblOffset val="100"/>
        <c:tickMarkSkip val="1"/>
        <c:noMultiLvlLbl val="0"/>
      </c:catAx>
      <c:valAx>
        <c:axId val="230802488"/>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3123133704672443E-2"/>
              <c:y val="0.37631939645243029"/>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30802096"/>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18730571821007"/>
          <c:y val="0.13599660493827159"/>
          <c:w val="0.80642069688426232"/>
          <c:h val="0.65312808641975306"/>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Calcs'!$I$42:$L$42</c:f>
              <c:numCache>
                <c:formatCode>General</c:formatCode>
                <c:ptCount val="4"/>
                <c:pt idx="3" formatCode="#,##0.0">
                  <c:v>98.699999999999989</c:v>
                </c:pt>
              </c:numCache>
            </c:numRef>
          </c:val>
        </c:ser>
        <c:ser>
          <c:idx val="1"/>
          <c:order val="1"/>
          <c:tx>
            <c:v>ACTUAL*</c:v>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Calcs'!$E$41:$H$41</c:f>
              <c:numCache>
                <c:formatCode>#,##0.0</c:formatCode>
                <c:ptCount val="4"/>
                <c:pt idx="0">
                  <c:v>105.64348623406228</c:v>
                </c:pt>
                <c:pt idx="1">
                  <c:v>103.3</c:v>
                </c:pt>
                <c:pt idx="2">
                  <c:v>112</c:v>
                </c:pt>
                <c:pt idx="3">
                  <c:v>95.6</c:v>
                </c:pt>
              </c:numCache>
            </c:numRef>
          </c:val>
        </c:ser>
        <c:dLbls>
          <c:showLegendKey val="0"/>
          <c:showVal val="0"/>
          <c:showCatName val="0"/>
          <c:showSerName val="0"/>
          <c:showPercent val="0"/>
          <c:showBubbleSize val="0"/>
        </c:dLbls>
        <c:gapWidth val="100"/>
        <c:overlap val="-10"/>
        <c:axId val="287009264"/>
        <c:axId val="287009656"/>
      </c:barChart>
      <c:catAx>
        <c:axId val="28700926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009656"/>
        <c:crosses val="autoZero"/>
        <c:auto val="0"/>
        <c:lblAlgn val="ctr"/>
        <c:lblOffset val="100"/>
        <c:tickMarkSkip val="1"/>
        <c:noMultiLvlLbl val="0"/>
      </c:catAx>
      <c:valAx>
        <c:axId val="287009656"/>
        <c:scaling>
          <c:orientation val="minMax"/>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6.7618557073664431E-2"/>
              <c:y val="0.42630895061728397"/>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009264"/>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97918489355496"/>
          <c:y val="0.17320599585220026"/>
          <c:w val="0.80423410615339763"/>
          <c:h val="0.63380905357328177"/>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Calcs'!$I$6:$L$6</c:f>
              <c:numCache>
                <c:formatCode>General</c:formatCode>
                <c:ptCount val="4"/>
                <c:pt idx="0">
                  <c:v>2015</c:v>
                </c:pt>
                <c:pt idx="1">
                  <c:v>2016</c:v>
                </c:pt>
                <c:pt idx="2">
                  <c:v>2017</c:v>
                </c:pt>
                <c:pt idx="3">
                  <c:v>2018</c:v>
                </c:pt>
              </c:numCache>
            </c:numRef>
          </c:cat>
          <c:val>
            <c:numRef>
              <c:f>'KPI Calcs'!$I$45:$L$45</c:f>
              <c:numCache>
                <c:formatCode>General</c:formatCode>
                <c:ptCount val="4"/>
                <c:pt idx="3" formatCode="#,##0.00">
                  <c:v>0.59</c:v>
                </c:pt>
              </c:numCache>
            </c:numRef>
          </c:val>
        </c:ser>
        <c:ser>
          <c:idx val="1"/>
          <c:order val="1"/>
          <c:tx>
            <c:strRef>
              <c:f>'KPI Calcs'!$H$5</c:f>
              <c:strCache>
                <c:ptCount val="1"/>
                <c:pt idx="0">
                  <c:v>ACTUAL</c:v>
                </c:pt>
              </c:strCache>
            </c:strRef>
          </c:tx>
          <c:spPr>
            <a:solidFill>
              <a:srgbClr val="0076A8"/>
            </a:solidFill>
            <a:ln w="12700">
              <a:solidFill>
                <a:sysClr val="windowText" lastClr="000000"/>
              </a:solidFill>
              <a:prstDash val="solid"/>
            </a:ln>
          </c:spPr>
          <c:invertIfNegative val="0"/>
          <c:cat>
            <c:numRef>
              <c:f>'KPI Calcs'!$I$6:$L$6</c:f>
              <c:numCache>
                <c:formatCode>General</c:formatCode>
                <c:ptCount val="4"/>
                <c:pt idx="0">
                  <c:v>2015</c:v>
                </c:pt>
                <c:pt idx="1">
                  <c:v>2016</c:v>
                </c:pt>
                <c:pt idx="2">
                  <c:v>2017</c:v>
                </c:pt>
                <c:pt idx="3">
                  <c:v>2018</c:v>
                </c:pt>
              </c:numCache>
            </c:numRef>
          </c:cat>
          <c:val>
            <c:numRef>
              <c:f>'KPI Calcs'!$E$44:$H$44</c:f>
              <c:numCache>
                <c:formatCode>#,##0.00</c:formatCode>
                <c:ptCount val="4"/>
                <c:pt idx="0">
                  <c:v>0.53</c:v>
                </c:pt>
                <c:pt idx="1">
                  <c:v>0.54</c:v>
                </c:pt>
                <c:pt idx="2">
                  <c:v>0.55000000000000004</c:v>
                </c:pt>
                <c:pt idx="3">
                  <c:v>0.47</c:v>
                </c:pt>
              </c:numCache>
            </c:numRef>
          </c:val>
        </c:ser>
        <c:dLbls>
          <c:showLegendKey val="0"/>
          <c:showVal val="0"/>
          <c:showCatName val="0"/>
          <c:showSerName val="0"/>
          <c:showPercent val="0"/>
          <c:showBubbleSize val="0"/>
        </c:dLbls>
        <c:gapWidth val="100"/>
        <c:overlap val="-10"/>
        <c:axId val="230801704"/>
        <c:axId val="287010832"/>
      </c:barChart>
      <c:catAx>
        <c:axId val="230801704"/>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010832"/>
        <c:crosses val="autoZero"/>
        <c:auto val="0"/>
        <c:lblAlgn val="ctr"/>
        <c:lblOffset val="100"/>
        <c:tickMarkSkip val="1"/>
        <c:noMultiLvlLbl val="0"/>
      </c:catAx>
      <c:valAx>
        <c:axId val="287010832"/>
        <c:scaling>
          <c:orientation val="minMax"/>
          <c:min val="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AU" sz="1000">
                    <a:solidFill>
                      <a:sysClr val="windowText" lastClr="000000"/>
                    </a:solidFill>
                    <a:latin typeface="Futura Std Medium" panose="020B0502020204020303" pitchFamily="34" charset="0"/>
                  </a:rPr>
                  <a:t>%</a:t>
                </a:r>
              </a:p>
            </c:rich>
          </c:tx>
          <c:layout>
            <c:manualLayout>
              <c:xMode val="edge"/>
              <c:yMode val="edge"/>
              <c:x val="3.7944006999125111E-2"/>
              <c:y val="0.44972359167270282"/>
            </c:manualLayout>
          </c:layout>
          <c:overlay val="0"/>
          <c:spPr>
            <a:noFill/>
            <a:ln w="25400">
              <a:noFill/>
            </a:ln>
          </c:spPr>
        </c:title>
        <c:numFmt formatCode="0.0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30801704"/>
        <c:crosses val="autoZero"/>
        <c:crossBetween val="between"/>
        <c:majorUnit val="0.1"/>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noFill/>
        <a:ln w="3175">
          <a:solidFill>
            <a:schemeClr val="tx1"/>
          </a:solidFill>
        </a:ln>
      </c:spPr>
    </c:plotArea>
    <c:plotVisOnly val="1"/>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26268464996789"/>
          <c:y val="0.11324366260260453"/>
          <c:w val="0.72863118175979458"/>
          <c:h val="0.62408568060075165"/>
        </c:manualLayout>
      </c:layout>
      <c:barChart>
        <c:barDir val="col"/>
        <c:grouping val="clustered"/>
        <c:varyColors val="0"/>
        <c:ser>
          <c:idx val="0"/>
          <c:order val="0"/>
          <c:tx>
            <c:strRef>
              <c:f>'KPI Calcs'!$L$5</c:f>
              <c:strCache>
                <c:ptCount val="1"/>
                <c:pt idx="0">
                  <c:v>TARGET</c:v>
                </c:pt>
              </c:strCache>
            </c:strRef>
          </c:tx>
          <c:spPr>
            <a:solidFill>
              <a:srgbClr val="58595B"/>
            </a:solidFill>
            <a:ln w="12700" cap="flat" cmpd="sng" algn="ctr">
              <a:solidFill>
                <a:sysClr val="windowText" lastClr="000000"/>
              </a:solidFill>
              <a:prstDash val="solid"/>
            </a:ln>
            <a:effectLst/>
          </c:spPr>
          <c:invertIfNegative val="0"/>
          <c:cat>
            <c:numRef>
              <c:f>'KPI Calcs'!$E$6:$H$6</c:f>
              <c:numCache>
                <c:formatCode>General</c:formatCode>
                <c:ptCount val="4"/>
                <c:pt idx="0">
                  <c:v>2015</c:v>
                </c:pt>
                <c:pt idx="1">
                  <c:v>2016</c:v>
                </c:pt>
                <c:pt idx="2">
                  <c:v>2017</c:v>
                </c:pt>
                <c:pt idx="3">
                  <c:v>2018</c:v>
                </c:pt>
              </c:numCache>
            </c:numRef>
          </c:cat>
          <c:val>
            <c:numRef>
              <c:f>'KPI Calcs'!$I$49:$L$49</c:f>
              <c:numCache>
                <c:formatCode>General</c:formatCode>
                <c:ptCount val="4"/>
                <c:pt idx="3" formatCode="#,##0.0">
                  <c:v>142.97629994148582</c:v>
                </c:pt>
              </c:numCache>
            </c:numRef>
          </c:val>
        </c:ser>
        <c:ser>
          <c:idx val="1"/>
          <c:order val="1"/>
          <c:tx>
            <c:v>ACTUAL (75% PoS)</c:v>
          </c:tx>
          <c:spPr>
            <a:solidFill>
              <a:srgbClr val="0076A8"/>
            </a:solidFill>
            <a:ln w="12700">
              <a:solidFill>
                <a:sysClr val="windowText" lastClr="000000"/>
              </a:solidFill>
              <a:prstDash val="solid"/>
            </a:ln>
          </c:spPr>
          <c:invertIfNegative val="0"/>
          <c:cat>
            <c:numRef>
              <c:f>'KPI Calcs'!$E$6:$H$6</c:f>
              <c:numCache>
                <c:formatCode>General</c:formatCode>
                <c:ptCount val="4"/>
                <c:pt idx="0">
                  <c:v>2015</c:v>
                </c:pt>
                <c:pt idx="1">
                  <c:v>2016</c:v>
                </c:pt>
                <c:pt idx="2">
                  <c:v>2017</c:v>
                </c:pt>
                <c:pt idx="3">
                  <c:v>2018</c:v>
                </c:pt>
              </c:numCache>
            </c:numRef>
          </c:cat>
          <c:val>
            <c:numRef>
              <c:f>'KPI Calcs'!$E$48:$H$48</c:f>
              <c:numCache>
                <c:formatCode>#,##0.0</c:formatCode>
                <c:ptCount val="4"/>
                <c:pt idx="0">
                  <c:v>141.93309260253039</c:v>
                </c:pt>
                <c:pt idx="1">
                  <c:v>137.41683389168634</c:v>
                </c:pt>
                <c:pt idx="2">
                  <c:v>141.5041964066441</c:v>
                </c:pt>
                <c:pt idx="3">
                  <c:v>143.10843279172545</c:v>
                </c:pt>
              </c:numCache>
            </c:numRef>
          </c:val>
        </c:ser>
        <c:ser>
          <c:idx val="2"/>
          <c:order val="2"/>
          <c:tx>
            <c:v>ACTUAL (90% PoS)</c:v>
          </c:tx>
          <c:spPr>
            <a:solidFill>
              <a:srgbClr val="D9E0EC"/>
            </a:solidFill>
            <a:ln>
              <a:solidFill>
                <a:sysClr val="windowText" lastClr="000000"/>
              </a:solidFill>
            </a:ln>
          </c:spPr>
          <c:invertIfNegative val="0"/>
          <c:cat>
            <c:numRef>
              <c:f>'KPI Calcs'!$E$6:$H$6</c:f>
              <c:numCache>
                <c:formatCode>General</c:formatCode>
                <c:ptCount val="4"/>
                <c:pt idx="0">
                  <c:v>2015</c:v>
                </c:pt>
                <c:pt idx="1">
                  <c:v>2016</c:v>
                </c:pt>
                <c:pt idx="2">
                  <c:v>2017</c:v>
                </c:pt>
                <c:pt idx="3">
                  <c:v>2018</c:v>
                </c:pt>
              </c:numCache>
            </c:numRef>
          </c:cat>
          <c:val>
            <c:numRef>
              <c:f>'KPI Calcs'!$E$52:$H$52</c:f>
              <c:numCache>
                <c:formatCode>General</c:formatCode>
                <c:ptCount val="4"/>
                <c:pt idx="3" formatCode="#,##0.0">
                  <c:v>137.03435314108046</c:v>
                </c:pt>
              </c:numCache>
            </c:numRef>
          </c:val>
        </c:ser>
        <c:dLbls>
          <c:showLegendKey val="0"/>
          <c:showVal val="0"/>
          <c:showCatName val="0"/>
          <c:showSerName val="0"/>
          <c:showPercent val="0"/>
          <c:showBubbleSize val="0"/>
        </c:dLbls>
        <c:gapWidth val="100"/>
        <c:overlap val="-10"/>
        <c:axId val="287012008"/>
        <c:axId val="287012400"/>
      </c:barChart>
      <c:catAx>
        <c:axId val="287012008"/>
        <c:scaling>
          <c:orientation val="minMax"/>
        </c:scaling>
        <c:delete val="0"/>
        <c:axPos val="b"/>
        <c:numFmt formatCode="General" sourceLinked="1"/>
        <c:majorTickMark val="out"/>
        <c:minorTickMark val="in"/>
        <c:tickLblPos val="nextTo"/>
        <c:spPr>
          <a:ln w="25400">
            <a:solidFill>
              <a:schemeClr val="tx1"/>
            </a:solidFill>
            <a:prstDash val="solid"/>
          </a:ln>
        </c:spPr>
        <c:txPr>
          <a:bodyPr rot="0" vert="horz"/>
          <a:lstStyle/>
          <a:p>
            <a:pPr>
              <a:defRPr sz="900" b="0" i="0" u="none" strike="noStrike" baseline="0">
                <a:solidFill>
                  <a:schemeClr val="tx1">
                    <a:lumMod val="75000"/>
                    <a:lumOff val="25000"/>
                  </a:schemeClr>
                </a:solidFill>
                <a:latin typeface="Times New Roman"/>
                <a:ea typeface="Times New Roman"/>
                <a:cs typeface="Times New Roman"/>
              </a:defRPr>
            </a:pPr>
            <a:endParaRPr lang="en-US"/>
          </a:p>
        </c:txPr>
        <c:crossAx val="287012400"/>
        <c:crosses val="autoZero"/>
        <c:auto val="0"/>
        <c:lblAlgn val="ctr"/>
        <c:lblOffset val="100"/>
        <c:tickMarkSkip val="1"/>
        <c:noMultiLvlLbl val="0"/>
      </c:catAx>
      <c:valAx>
        <c:axId val="287012400"/>
        <c:scaling>
          <c:orientation val="minMax"/>
          <c:min val="120"/>
        </c:scaling>
        <c:delete val="0"/>
        <c:axPos val="l"/>
        <c:majorGridlines/>
        <c:title>
          <c:tx>
            <c:rich>
              <a:bodyPr rot="-60000" vert="horz"/>
              <a:lstStyle/>
              <a:p>
                <a:pPr algn="ctr">
                  <a:defRPr sz="1000" b="1" i="0" u="none" strike="noStrike" baseline="0">
                    <a:solidFill>
                      <a:sysClr val="windowText" lastClr="000000"/>
                    </a:solidFill>
                    <a:latin typeface="Futura Std Medium" panose="020B0502020204020303" pitchFamily="34" charset="0"/>
                    <a:ea typeface="Arial"/>
                    <a:cs typeface="Arial"/>
                  </a:defRPr>
                </a:pPr>
                <a:r>
                  <a:rPr lang="en-US" sz="1000">
                    <a:solidFill>
                      <a:sysClr val="windowText" lastClr="000000"/>
                    </a:solidFill>
                    <a:latin typeface="Futura Std Medium" panose="020B0502020204020303" pitchFamily="34" charset="0"/>
                  </a:rPr>
                  <a:t>%</a:t>
                </a:r>
              </a:p>
            </c:rich>
          </c:tx>
          <c:layout>
            <c:manualLayout>
              <c:xMode val="edge"/>
              <c:yMode val="edge"/>
              <c:x val="0.16024397590361425"/>
              <c:y val="0.37189640848679084"/>
            </c:manualLayout>
          </c:layout>
          <c:overlay val="0"/>
          <c:spPr>
            <a:noFill/>
            <a:ln w="25400">
              <a:noFill/>
            </a:ln>
          </c:spPr>
        </c:title>
        <c:numFmt formatCode="0" sourceLinked="0"/>
        <c:majorTickMark val="out"/>
        <c:minorTickMark val="none"/>
        <c:tickLblPos val="nextTo"/>
        <c:spPr>
          <a:ln w="12700">
            <a:solidFill>
              <a:schemeClr val="tx1"/>
            </a:solidFill>
            <a:prstDash val="solid"/>
          </a:ln>
        </c:spPr>
        <c:txPr>
          <a:bodyPr rot="0" vert="horz"/>
          <a:lstStyle/>
          <a:p>
            <a:pPr>
              <a:defRPr sz="1000" b="1" i="0" u="none" strike="noStrike" baseline="0">
                <a:solidFill>
                  <a:sysClr val="windowText" lastClr="000000"/>
                </a:solidFill>
                <a:latin typeface="Futura Std Medium" panose="020B0502020204020303" pitchFamily="34" charset="0"/>
                <a:ea typeface="Arial"/>
                <a:cs typeface="Arial"/>
              </a:defRPr>
            </a:pPr>
            <a:endParaRPr lang="en-US"/>
          </a:p>
        </c:txPr>
        <c:crossAx val="287012008"/>
        <c:crosses val="autoZero"/>
        <c:crossBetween val="between"/>
      </c:valAx>
      <c:dTable>
        <c:showHorzBorder val="1"/>
        <c:showVertBorder val="0"/>
        <c:showOutline val="0"/>
        <c:showKeys val="1"/>
        <c:spPr>
          <a:ln w="12700" cap="rnd">
            <a:solidFill>
              <a:srgbClr val="000000">
                <a:alpha val="45490"/>
              </a:srgbClr>
            </a:solidFill>
            <a:prstDash val="solid"/>
          </a:ln>
        </c:spPr>
        <c:txPr>
          <a:bodyPr/>
          <a:lstStyle/>
          <a:p>
            <a:pPr rtl="0">
              <a:defRPr sz="1000" b="1" i="0" u="none" strike="noStrike" spc="100" baseline="0">
                <a:solidFill>
                  <a:sysClr val="windowText" lastClr="000000"/>
                </a:solidFill>
                <a:latin typeface="Futura Std Medium" panose="020B0502020204020303" pitchFamily="34" charset="0"/>
                <a:ea typeface="Arial"/>
                <a:cs typeface="Arial"/>
              </a:defRPr>
            </a:pPr>
            <a:endParaRPr lang="en-US"/>
          </a:p>
        </c:txPr>
      </c:dTable>
      <c:spPr>
        <a:solidFill>
          <a:sysClr val="window" lastClr="FFFFFF"/>
        </a:solidFill>
        <a:ln w="3175">
          <a:solidFill>
            <a:sysClr val="windowText" lastClr="000000"/>
          </a:solidFill>
        </a:ln>
      </c:spPr>
    </c:plotArea>
    <c:plotVisOnly val="0"/>
    <c:dispBlanksAs val="gap"/>
    <c:showDLblsOverMax val="0"/>
  </c:chart>
  <c:spPr>
    <a:noFill/>
    <a:ln w="9525" cmpd="sng">
      <a:noFill/>
    </a:ln>
    <a:effectLst/>
    <a:scene3d>
      <a:camera prst="orthographicFront"/>
      <a:lightRig rig="morning" dir="t">
        <a:rot lat="0" lon="0" rev="3000000"/>
      </a:lightRig>
    </a:scene3d>
    <a:sp3d prstMaterial="powder">
      <a:bevelB/>
    </a:sp3d>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1.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2.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3.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4"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5"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4.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15.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4"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5"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4"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5"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8.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0.43333</cdr:x>
      <cdr:y>0.4988</cdr:y>
    </cdr:from>
    <cdr:to>
      <cdr:x>0.44785</cdr:x>
      <cdr:y>0.63224</cdr:y>
    </cdr:to>
    <cdr:sp macro="" textlink="">
      <cdr:nvSpPr>
        <cdr:cNvPr id="90113"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90114"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2" name="Text Box 1"/>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dr:relSizeAnchor xmlns:cdr="http://schemas.openxmlformats.org/drawingml/2006/chartDrawing">
    <cdr:from>
      <cdr:x>0.43333</cdr:x>
      <cdr:y>0.4988</cdr:y>
    </cdr:from>
    <cdr:to>
      <cdr:x>0.44785</cdr:x>
      <cdr:y>0.63224</cdr:y>
    </cdr:to>
    <cdr:sp macro="" textlink="">
      <cdr:nvSpPr>
        <cdr:cNvPr id="3" name="Text Box 2"/>
        <cdr:cNvSpPr txBox="1">
          <a:spLocks xmlns:a="http://schemas.openxmlformats.org/drawingml/2006/main" noChangeArrowheads="1"/>
        </cdr:cNvSpPr>
      </cdr:nvSpPr>
      <cdr:spPr bwMode="auto">
        <a:xfrm xmlns:a="http://schemas.openxmlformats.org/drawingml/2006/main">
          <a:off x="2591101" y="1304957"/>
          <a:ext cx="86684" cy="3482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25" b="0" i="0" u="none" strike="noStrike" baseline="0">
              <a:solidFill>
                <a:srgbClr val="000000"/>
              </a:solidFill>
              <a:latin typeface="Times New Roman"/>
              <a:cs typeface="Times New Roman"/>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C5388-1A8F-4A0C-94DA-15B4F6928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8DF54669</Template>
  <TotalTime>2</TotalTime>
  <Pages>98</Pages>
  <Words>23788</Words>
  <Characters>135597</Characters>
  <Application>Microsoft Office Word</Application>
  <DocSecurity>8</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Insurance Commission of WA</Company>
  <LinksUpToDate>false</LinksUpToDate>
  <CharactersWithSpaces>159067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Gohr</dc:creator>
  <cp:keywords/>
  <dc:description/>
  <cp:lastModifiedBy>Tess Trenear</cp:lastModifiedBy>
  <cp:revision>3</cp:revision>
  <dcterms:created xsi:type="dcterms:W3CDTF">2018-09-19T02:03:00Z</dcterms:created>
  <dcterms:modified xsi:type="dcterms:W3CDTF">2018-09-19T02:05:00Z</dcterms:modified>
</cp:coreProperties>
</file>